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6B10F" w14:textId="2DA41352" w:rsidR="00772FD8" w:rsidRPr="002D3A29" w:rsidRDefault="008B5E18" w:rsidP="00DE0FBF">
      <w:pPr>
        <w:rPr>
          <w:rFonts w:ascii="Arial" w:hAnsi="Arial" w:cs="Arial"/>
          <w:b/>
          <w:sz w:val="24"/>
          <w:szCs w:val="24"/>
        </w:rPr>
      </w:pPr>
      <w:r>
        <w:rPr>
          <w:rFonts w:ascii="Arial" w:hAnsi="Arial" w:cs="Arial"/>
          <w:b/>
          <w:sz w:val="24"/>
          <w:szCs w:val="24"/>
        </w:rPr>
        <w:t xml:space="preserve">Vorabinformationen zur Personalkostenförderung ESF+ und EFRE </w:t>
      </w:r>
      <w:r w:rsidR="00AF090A">
        <w:rPr>
          <w:rFonts w:ascii="Arial" w:hAnsi="Arial" w:cs="Arial"/>
          <w:b/>
          <w:sz w:val="24"/>
          <w:szCs w:val="24"/>
        </w:rPr>
        <w:t>der Förderperiode</w:t>
      </w:r>
      <w:r w:rsidR="00A66B31">
        <w:rPr>
          <w:rFonts w:ascii="Arial" w:hAnsi="Arial" w:cs="Arial"/>
          <w:b/>
          <w:sz w:val="24"/>
          <w:szCs w:val="24"/>
        </w:rPr>
        <w:t xml:space="preserve"> 2021 bis </w:t>
      </w:r>
      <w:r w:rsidR="00626DD3" w:rsidRPr="00F720EE">
        <w:rPr>
          <w:rFonts w:ascii="Arial" w:hAnsi="Arial" w:cs="Arial"/>
          <w:b/>
          <w:sz w:val="24"/>
          <w:szCs w:val="24"/>
        </w:rPr>
        <w:t xml:space="preserve">2027 </w:t>
      </w:r>
      <w:r>
        <w:rPr>
          <w:rFonts w:ascii="Arial" w:hAnsi="Arial" w:cs="Arial"/>
          <w:b/>
          <w:sz w:val="24"/>
          <w:szCs w:val="24"/>
        </w:rPr>
        <w:t xml:space="preserve">– hier </w:t>
      </w:r>
      <w:r w:rsidR="003C7CC4">
        <w:rPr>
          <w:rFonts w:ascii="Arial" w:hAnsi="Arial" w:cs="Arial"/>
          <w:b/>
          <w:sz w:val="24"/>
          <w:szCs w:val="24"/>
        </w:rPr>
        <w:t>EFRE</w:t>
      </w:r>
      <w:r>
        <w:rPr>
          <w:rFonts w:ascii="Arial" w:hAnsi="Arial" w:cs="Arial"/>
          <w:b/>
          <w:sz w:val="24"/>
          <w:szCs w:val="24"/>
        </w:rPr>
        <w:t xml:space="preserve">-Richtlinie: </w:t>
      </w:r>
      <w:r w:rsidR="00DE0FBF">
        <w:rPr>
          <w:rFonts w:ascii="Arial" w:hAnsi="Arial" w:cs="Arial"/>
          <w:b/>
          <w:sz w:val="24"/>
          <w:szCs w:val="24"/>
        </w:rPr>
        <w:t>Innovationsförderprogramm für Forschung und Entwicklung</w:t>
      </w:r>
    </w:p>
    <w:p w14:paraId="13F3817E" w14:textId="77777777" w:rsidR="008B5E18" w:rsidRPr="007F3005" w:rsidRDefault="008B5E18" w:rsidP="008B5E18">
      <w:pPr>
        <w:pStyle w:val="Listenabsatz"/>
        <w:numPr>
          <w:ilvl w:val="0"/>
          <w:numId w:val="2"/>
        </w:numPr>
        <w:spacing w:after="0" w:line="240" w:lineRule="auto"/>
        <w:jc w:val="both"/>
        <w:rPr>
          <w:rFonts w:ascii="Arial" w:hAnsi="Arial" w:cs="Arial"/>
          <w:b/>
        </w:rPr>
      </w:pPr>
      <w:r>
        <w:rPr>
          <w:rFonts w:ascii="Arial" w:hAnsi="Arial" w:cs="Arial"/>
          <w:b/>
        </w:rPr>
        <w:t>Vorwort</w:t>
      </w:r>
    </w:p>
    <w:p w14:paraId="7FBB67C1" w14:textId="77777777" w:rsidR="008B5E18" w:rsidRPr="007F3005" w:rsidRDefault="008B5E18" w:rsidP="008B5E18">
      <w:pPr>
        <w:pStyle w:val="Listenabsatz"/>
        <w:ind w:left="1080"/>
        <w:jc w:val="both"/>
        <w:rPr>
          <w:rFonts w:ascii="Arial" w:hAnsi="Arial" w:cs="Arial"/>
          <w:b/>
        </w:rPr>
      </w:pPr>
    </w:p>
    <w:p w14:paraId="53886507" w14:textId="1ACEC0ED" w:rsidR="00AF090A" w:rsidRDefault="008B5E18" w:rsidP="00A97974">
      <w:pPr>
        <w:rPr>
          <w:rFonts w:ascii="Arial" w:hAnsi="Arial" w:cs="Arial"/>
        </w:rPr>
      </w:pPr>
      <w:r>
        <w:rPr>
          <w:rFonts w:ascii="Arial" w:hAnsi="Arial" w:cs="Arial"/>
        </w:rPr>
        <w:t xml:space="preserve">Im Vorgriff auf den Erlass der Verwaltungsbehörde </w:t>
      </w:r>
      <w:r w:rsidRPr="00A66B31">
        <w:rPr>
          <w:rFonts w:ascii="Arial" w:hAnsi="Arial" w:cs="Arial"/>
        </w:rPr>
        <w:t>zur Abrechnung von Personalausgaben in den niedersächsischen EFRE- und ESF+-Programmen</w:t>
      </w:r>
      <w:r w:rsidRPr="007F3005">
        <w:rPr>
          <w:rFonts w:ascii="Arial" w:hAnsi="Arial" w:cs="Arial"/>
        </w:rPr>
        <w:t xml:space="preserve"> </w:t>
      </w:r>
      <w:r>
        <w:rPr>
          <w:rFonts w:ascii="Arial" w:hAnsi="Arial" w:cs="Arial"/>
        </w:rPr>
        <w:t xml:space="preserve">werden in diesem Informationsblatt </w:t>
      </w:r>
      <w:r w:rsidR="002D3A29">
        <w:rPr>
          <w:rFonts w:ascii="Arial" w:hAnsi="Arial" w:cs="Arial"/>
        </w:rPr>
        <w:t xml:space="preserve">die wichtigsten Eckpunkte für die Zuwendungsempfangenden des </w:t>
      </w:r>
      <w:r w:rsidR="003C7CC4">
        <w:rPr>
          <w:rFonts w:ascii="Arial" w:hAnsi="Arial" w:cs="Arial"/>
        </w:rPr>
        <w:t>EFRE</w:t>
      </w:r>
      <w:r w:rsidR="00A66B31">
        <w:rPr>
          <w:rFonts w:ascii="Arial" w:hAnsi="Arial" w:cs="Arial"/>
        </w:rPr>
        <w:t>-</w:t>
      </w:r>
      <w:r w:rsidR="002D3A29">
        <w:rPr>
          <w:rFonts w:ascii="Arial" w:hAnsi="Arial" w:cs="Arial"/>
        </w:rPr>
        <w:t xml:space="preserve">Förderprogramms </w:t>
      </w:r>
      <w:r w:rsidR="00A97974">
        <w:rPr>
          <w:rFonts w:ascii="Arial" w:hAnsi="Arial" w:cs="Arial"/>
        </w:rPr>
        <w:t>Innovationsförderprogramm für Forschung und Entwicklung</w:t>
      </w:r>
      <w:bookmarkStart w:id="0" w:name="_GoBack"/>
      <w:bookmarkEnd w:id="0"/>
      <w:r w:rsidR="00A66B31">
        <w:rPr>
          <w:rFonts w:ascii="Arial" w:hAnsi="Arial" w:cs="Arial"/>
          <w:b/>
          <w:sz w:val="24"/>
          <w:szCs w:val="24"/>
        </w:rPr>
        <w:t xml:space="preserve"> </w:t>
      </w:r>
      <w:r w:rsidR="002D3A29">
        <w:rPr>
          <w:rFonts w:ascii="Arial" w:hAnsi="Arial" w:cs="Arial"/>
        </w:rPr>
        <w:t xml:space="preserve">zusammengestellt. </w:t>
      </w:r>
    </w:p>
    <w:p w14:paraId="32989895" w14:textId="24B967CF" w:rsidR="008B5E18" w:rsidRPr="00A66B31" w:rsidRDefault="002D3A29" w:rsidP="00A66B31">
      <w:pPr>
        <w:rPr>
          <w:rFonts w:ascii="Arial" w:hAnsi="Arial" w:cs="Arial"/>
          <w:b/>
          <w:sz w:val="24"/>
          <w:szCs w:val="24"/>
        </w:rPr>
      </w:pPr>
      <w:r>
        <w:rPr>
          <w:rFonts w:ascii="Arial" w:hAnsi="Arial" w:cs="Arial"/>
        </w:rPr>
        <w:t>Bitte beachten Sie, dass sich an den unten genannten Werten und geschilderten Verfahren noch Anpassungen ergeben können</w:t>
      </w:r>
      <w:r w:rsidR="00AF090A">
        <w:rPr>
          <w:rFonts w:ascii="Arial" w:hAnsi="Arial" w:cs="Arial"/>
        </w:rPr>
        <w:t>.</w:t>
      </w:r>
      <w:r>
        <w:rPr>
          <w:rFonts w:ascii="Arial" w:hAnsi="Arial" w:cs="Arial"/>
        </w:rPr>
        <w:t xml:space="preserve"> </w:t>
      </w:r>
      <w:r w:rsidR="00AF090A">
        <w:rPr>
          <w:rFonts w:ascii="Arial" w:hAnsi="Arial" w:cs="Arial"/>
        </w:rPr>
        <w:t>Der</w:t>
      </w:r>
      <w:r>
        <w:rPr>
          <w:rFonts w:ascii="Arial" w:hAnsi="Arial" w:cs="Arial"/>
        </w:rPr>
        <w:t xml:space="preserve"> Erlass </w:t>
      </w:r>
      <w:r w:rsidR="00A66B31">
        <w:rPr>
          <w:rFonts w:ascii="Arial" w:hAnsi="Arial" w:cs="Arial"/>
        </w:rPr>
        <w:t xml:space="preserve">zur Personalkostenförderung </w:t>
      </w:r>
      <w:r w:rsidR="00AF090A">
        <w:rPr>
          <w:rFonts w:ascii="Arial" w:hAnsi="Arial" w:cs="Arial"/>
        </w:rPr>
        <w:t>befindet innerhalb der Landesregierung noch im Beteiligungsverfahren.</w:t>
      </w:r>
      <w:r>
        <w:rPr>
          <w:rFonts w:ascii="Arial" w:hAnsi="Arial" w:cs="Arial"/>
        </w:rPr>
        <w:t xml:space="preserve"> </w:t>
      </w:r>
    </w:p>
    <w:p w14:paraId="23225A35" w14:textId="77777777" w:rsidR="008B5E18" w:rsidRDefault="008B5E18" w:rsidP="008B5E18">
      <w:pPr>
        <w:jc w:val="both"/>
        <w:rPr>
          <w:rFonts w:ascii="Arial" w:hAnsi="Arial" w:cs="Arial"/>
        </w:rPr>
      </w:pPr>
      <w:r w:rsidRPr="007F3005">
        <w:rPr>
          <w:rFonts w:ascii="Arial" w:hAnsi="Arial" w:cs="Arial"/>
        </w:rPr>
        <w:t xml:space="preserve">Der jeweilige </w:t>
      </w:r>
      <w:r w:rsidR="00A66B31">
        <w:rPr>
          <w:rFonts w:ascii="Arial" w:hAnsi="Arial" w:cs="Arial"/>
        </w:rPr>
        <w:t xml:space="preserve">unten genannte </w:t>
      </w:r>
      <w:r w:rsidRPr="007F3005">
        <w:rPr>
          <w:rFonts w:ascii="Arial" w:hAnsi="Arial" w:cs="Arial"/>
        </w:rPr>
        <w:t xml:space="preserve">Standardeinheitskostensatz für Personalausgaben deckt die Lohn- oder Gehaltsausgaben, zu denen die Bruttobezüge inklusive aller Nebenleistungen (z.B. Urlaubs- und Weihnachtsgeld sowie Leistungsprämien) zählen, einschließlich aller Lohn- und Gehaltsnebenkosten ab sowie </w:t>
      </w:r>
      <w:r>
        <w:rPr>
          <w:rFonts w:ascii="Arial" w:hAnsi="Arial" w:cs="Arial"/>
        </w:rPr>
        <w:t xml:space="preserve">entsprechende </w:t>
      </w:r>
      <w:r w:rsidRPr="007F3005">
        <w:rPr>
          <w:rFonts w:ascii="Arial" w:hAnsi="Arial" w:cs="Arial"/>
        </w:rPr>
        <w:t xml:space="preserve">Betriebsentnahmen bei </w:t>
      </w:r>
      <w:proofErr w:type="spellStart"/>
      <w:r w:rsidRPr="007F3005">
        <w:rPr>
          <w:rFonts w:ascii="Arial" w:hAnsi="Arial" w:cs="Arial"/>
        </w:rPr>
        <w:t>Betriebsinhabenden</w:t>
      </w:r>
      <w:proofErr w:type="spellEnd"/>
      <w:r w:rsidRPr="007F3005">
        <w:rPr>
          <w:rFonts w:ascii="Arial" w:hAnsi="Arial" w:cs="Arial"/>
        </w:rPr>
        <w:t xml:space="preserve"> etc. </w:t>
      </w:r>
    </w:p>
    <w:p w14:paraId="77EB6111" w14:textId="77777777" w:rsidR="00A66B31" w:rsidRPr="00A66B31" w:rsidRDefault="00A66B31" w:rsidP="00A66B31">
      <w:pPr>
        <w:pStyle w:val="Listenabsatz"/>
        <w:numPr>
          <w:ilvl w:val="0"/>
          <w:numId w:val="2"/>
        </w:numPr>
        <w:spacing w:after="0" w:line="240" w:lineRule="auto"/>
        <w:jc w:val="both"/>
        <w:rPr>
          <w:rFonts w:ascii="Arial" w:hAnsi="Arial" w:cs="Arial"/>
          <w:b/>
        </w:rPr>
      </w:pPr>
      <w:r w:rsidRPr="00A66B31">
        <w:rPr>
          <w:rFonts w:ascii="Arial" w:hAnsi="Arial" w:cs="Arial"/>
          <w:b/>
        </w:rPr>
        <w:t>Höhe der Standardeinheitskostensätze</w:t>
      </w:r>
    </w:p>
    <w:p w14:paraId="1BF7C3C3" w14:textId="77777777" w:rsidR="00A66B31" w:rsidRPr="007F3005" w:rsidRDefault="00A66B31" w:rsidP="00A66B31">
      <w:pPr>
        <w:jc w:val="both"/>
        <w:rPr>
          <w:rFonts w:ascii="Arial" w:hAnsi="Arial" w:cs="Arial"/>
          <w:b/>
        </w:rPr>
      </w:pPr>
    </w:p>
    <w:p w14:paraId="0B1DC99D" w14:textId="77777777" w:rsidR="00A66B31" w:rsidRPr="00F77E5B" w:rsidRDefault="00A66B31" w:rsidP="00A66B31">
      <w:pPr>
        <w:jc w:val="both"/>
        <w:rPr>
          <w:rFonts w:ascii="Arial" w:hAnsi="Arial" w:cs="Arial"/>
        </w:rPr>
      </w:pPr>
      <w:r w:rsidRPr="00F77E5B">
        <w:rPr>
          <w:rFonts w:ascii="Arial" w:hAnsi="Arial" w:cs="Arial"/>
        </w:rPr>
        <w:t>Für die Förderperiode 2021 – 2027 gelten die nachfolgenden Standardeinheitskostensätze (Monatsbeträge)</w:t>
      </w:r>
    </w:p>
    <w:tbl>
      <w:tblPr>
        <w:tblW w:w="9741" w:type="dxa"/>
        <w:tblCellMar>
          <w:left w:w="70" w:type="dxa"/>
          <w:right w:w="70" w:type="dxa"/>
        </w:tblCellMar>
        <w:tblLook w:val="04A0" w:firstRow="1" w:lastRow="0" w:firstColumn="1" w:lastColumn="0" w:noHBand="0" w:noVBand="1"/>
      </w:tblPr>
      <w:tblGrid>
        <w:gridCol w:w="1838"/>
        <w:gridCol w:w="903"/>
        <w:gridCol w:w="1000"/>
        <w:gridCol w:w="1000"/>
        <w:gridCol w:w="1000"/>
        <w:gridCol w:w="1000"/>
        <w:gridCol w:w="1000"/>
        <w:gridCol w:w="1000"/>
        <w:gridCol w:w="1000"/>
      </w:tblGrid>
      <w:tr w:rsidR="00A66B31" w:rsidRPr="008B2AE2" w14:paraId="682F7E93" w14:textId="77777777" w:rsidTr="008E294D">
        <w:trPr>
          <w:trHeight w:val="290"/>
        </w:trPr>
        <w:tc>
          <w:tcPr>
            <w:tcW w:w="1838" w:type="dxa"/>
            <w:tcBorders>
              <w:top w:val="single" w:sz="4" w:space="0" w:color="auto"/>
              <w:left w:val="single" w:sz="4" w:space="0" w:color="auto"/>
              <w:bottom w:val="single" w:sz="4" w:space="0" w:color="auto"/>
              <w:right w:val="single" w:sz="4" w:space="0" w:color="auto"/>
            </w:tcBorders>
            <w:noWrap/>
            <w:vAlign w:val="bottom"/>
            <w:hideMark/>
          </w:tcPr>
          <w:p w14:paraId="10CC413D"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 </w:t>
            </w:r>
          </w:p>
        </w:tc>
        <w:tc>
          <w:tcPr>
            <w:tcW w:w="903" w:type="dxa"/>
            <w:tcBorders>
              <w:top w:val="single" w:sz="4" w:space="0" w:color="auto"/>
              <w:left w:val="nil"/>
              <w:bottom w:val="single" w:sz="4" w:space="0" w:color="auto"/>
              <w:right w:val="single" w:sz="4" w:space="0" w:color="auto"/>
            </w:tcBorders>
            <w:noWrap/>
            <w:vAlign w:val="bottom"/>
            <w:hideMark/>
          </w:tcPr>
          <w:p w14:paraId="06EF734A"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2022</w:t>
            </w:r>
          </w:p>
        </w:tc>
        <w:tc>
          <w:tcPr>
            <w:tcW w:w="1000" w:type="dxa"/>
            <w:tcBorders>
              <w:top w:val="single" w:sz="4" w:space="0" w:color="auto"/>
              <w:left w:val="nil"/>
              <w:bottom w:val="single" w:sz="4" w:space="0" w:color="auto"/>
              <w:right w:val="single" w:sz="4" w:space="0" w:color="auto"/>
            </w:tcBorders>
            <w:noWrap/>
            <w:vAlign w:val="bottom"/>
            <w:hideMark/>
          </w:tcPr>
          <w:p w14:paraId="2B26A537"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2023</w:t>
            </w:r>
          </w:p>
        </w:tc>
        <w:tc>
          <w:tcPr>
            <w:tcW w:w="1000" w:type="dxa"/>
            <w:tcBorders>
              <w:top w:val="single" w:sz="4" w:space="0" w:color="auto"/>
              <w:left w:val="nil"/>
              <w:bottom w:val="single" w:sz="4" w:space="0" w:color="auto"/>
              <w:right w:val="single" w:sz="4" w:space="0" w:color="auto"/>
            </w:tcBorders>
            <w:noWrap/>
            <w:vAlign w:val="bottom"/>
            <w:hideMark/>
          </w:tcPr>
          <w:p w14:paraId="049D05D4"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2024</w:t>
            </w:r>
          </w:p>
        </w:tc>
        <w:tc>
          <w:tcPr>
            <w:tcW w:w="1000" w:type="dxa"/>
            <w:tcBorders>
              <w:top w:val="single" w:sz="4" w:space="0" w:color="auto"/>
              <w:left w:val="nil"/>
              <w:bottom w:val="single" w:sz="4" w:space="0" w:color="auto"/>
              <w:right w:val="single" w:sz="4" w:space="0" w:color="auto"/>
            </w:tcBorders>
            <w:noWrap/>
            <w:vAlign w:val="bottom"/>
            <w:hideMark/>
          </w:tcPr>
          <w:p w14:paraId="16F53723"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2025</w:t>
            </w:r>
          </w:p>
        </w:tc>
        <w:tc>
          <w:tcPr>
            <w:tcW w:w="1000" w:type="dxa"/>
            <w:tcBorders>
              <w:top w:val="single" w:sz="4" w:space="0" w:color="auto"/>
              <w:left w:val="nil"/>
              <w:bottom w:val="single" w:sz="4" w:space="0" w:color="auto"/>
              <w:right w:val="single" w:sz="4" w:space="0" w:color="auto"/>
            </w:tcBorders>
            <w:noWrap/>
            <w:vAlign w:val="bottom"/>
            <w:hideMark/>
          </w:tcPr>
          <w:p w14:paraId="5850F821"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2026</w:t>
            </w:r>
          </w:p>
        </w:tc>
        <w:tc>
          <w:tcPr>
            <w:tcW w:w="1000" w:type="dxa"/>
            <w:tcBorders>
              <w:top w:val="single" w:sz="4" w:space="0" w:color="auto"/>
              <w:left w:val="nil"/>
              <w:bottom w:val="single" w:sz="4" w:space="0" w:color="auto"/>
              <w:right w:val="single" w:sz="4" w:space="0" w:color="auto"/>
            </w:tcBorders>
            <w:noWrap/>
            <w:vAlign w:val="bottom"/>
            <w:hideMark/>
          </w:tcPr>
          <w:p w14:paraId="354BEF98"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2027</w:t>
            </w:r>
          </w:p>
        </w:tc>
        <w:tc>
          <w:tcPr>
            <w:tcW w:w="1000" w:type="dxa"/>
            <w:tcBorders>
              <w:top w:val="single" w:sz="4" w:space="0" w:color="auto"/>
              <w:left w:val="nil"/>
              <w:bottom w:val="single" w:sz="4" w:space="0" w:color="auto"/>
              <w:right w:val="single" w:sz="4" w:space="0" w:color="auto"/>
            </w:tcBorders>
            <w:noWrap/>
            <w:vAlign w:val="bottom"/>
            <w:hideMark/>
          </w:tcPr>
          <w:p w14:paraId="3D335962"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2028</w:t>
            </w:r>
          </w:p>
        </w:tc>
        <w:tc>
          <w:tcPr>
            <w:tcW w:w="1000" w:type="dxa"/>
            <w:tcBorders>
              <w:top w:val="single" w:sz="4" w:space="0" w:color="auto"/>
              <w:left w:val="nil"/>
              <w:bottom w:val="single" w:sz="4" w:space="0" w:color="auto"/>
              <w:right w:val="single" w:sz="4" w:space="0" w:color="auto"/>
            </w:tcBorders>
            <w:noWrap/>
            <w:vAlign w:val="bottom"/>
            <w:hideMark/>
          </w:tcPr>
          <w:p w14:paraId="75F8E328"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2029</w:t>
            </w:r>
          </w:p>
        </w:tc>
      </w:tr>
      <w:tr w:rsidR="00A66B31" w:rsidRPr="008B2AE2" w14:paraId="602926A5" w14:textId="77777777" w:rsidTr="008E294D">
        <w:trPr>
          <w:trHeight w:val="290"/>
        </w:trPr>
        <w:tc>
          <w:tcPr>
            <w:tcW w:w="1838" w:type="dxa"/>
            <w:tcBorders>
              <w:top w:val="nil"/>
              <w:left w:val="single" w:sz="4" w:space="0" w:color="auto"/>
              <w:bottom w:val="single" w:sz="4" w:space="0" w:color="auto"/>
              <w:right w:val="single" w:sz="4" w:space="0" w:color="auto"/>
            </w:tcBorders>
            <w:noWrap/>
            <w:vAlign w:val="bottom"/>
            <w:hideMark/>
          </w:tcPr>
          <w:p w14:paraId="0117AFCA"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Funktionsstufe 1a</w:t>
            </w:r>
          </w:p>
        </w:tc>
        <w:tc>
          <w:tcPr>
            <w:tcW w:w="903" w:type="dxa"/>
            <w:tcBorders>
              <w:top w:val="nil"/>
              <w:left w:val="nil"/>
              <w:bottom w:val="single" w:sz="4" w:space="0" w:color="auto"/>
              <w:right w:val="single" w:sz="4" w:space="0" w:color="auto"/>
            </w:tcBorders>
            <w:noWrap/>
            <w:vAlign w:val="bottom"/>
            <w:hideMark/>
          </w:tcPr>
          <w:p w14:paraId="04BF7875"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426 €</w:t>
            </w:r>
          </w:p>
        </w:tc>
        <w:tc>
          <w:tcPr>
            <w:tcW w:w="1000" w:type="dxa"/>
            <w:tcBorders>
              <w:top w:val="nil"/>
              <w:left w:val="nil"/>
              <w:bottom w:val="single" w:sz="4" w:space="0" w:color="auto"/>
              <w:right w:val="single" w:sz="4" w:space="0" w:color="auto"/>
            </w:tcBorders>
            <w:noWrap/>
            <w:vAlign w:val="bottom"/>
            <w:hideMark/>
          </w:tcPr>
          <w:p w14:paraId="407CCA17"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435 €</w:t>
            </w:r>
          </w:p>
        </w:tc>
        <w:tc>
          <w:tcPr>
            <w:tcW w:w="1000" w:type="dxa"/>
            <w:tcBorders>
              <w:top w:val="nil"/>
              <w:left w:val="nil"/>
              <w:bottom w:val="single" w:sz="4" w:space="0" w:color="auto"/>
              <w:right w:val="single" w:sz="4" w:space="0" w:color="auto"/>
            </w:tcBorders>
            <w:noWrap/>
            <w:vAlign w:val="bottom"/>
            <w:hideMark/>
          </w:tcPr>
          <w:p w14:paraId="0E61B26D"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445 €</w:t>
            </w:r>
          </w:p>
        </w:tc>
        <w:tc>
          <w:tcPr>
            <w:tcW w:w="1000" w:type="dxa"/>
            <w:tcBorders>
              <w:top w:val="nil"/>
              <w:left w:val="nil"/>
              <w:bottom w:val="single" w:sz="4" w:space="0" w:color="auto"/>
              <w:right w:val="single" w:sz="4" w:space="0" w:color="auto"/>
            </w:tcBorders>
            <w:noWrap/>
            <w:vAlign w:val="bottom"/>
            <w:hideMark/>
          </w:tcPr>
          <w:p w14:paraId="5506C08F"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455 €</w:t>
            </w:r>
          </w:p>
        </w:tc>
        <w:tc>
          <w:tcPr>
            <w:tcW w:w="1000" w:type="dxa"/>
            <w:tcBorders>
              <w:top w:val="nil"/>
              <w:left w:val="nil"/>
              <w:bottom w:val="single" w:sz="4" w:space="0" w:color="auto"/>
              <w:right w:val="single" w:sz="4" w:space="0" w:color="auto"/>
            </w:tcBorders>
            <w:noWrap/>
            <w:vAlign w:val="bottom"/>
            <w:hideMark/>
          </w:tcPr>
          <w:p w14:paraId="7F161A4B"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466 €</w:t>
            </w:r>
          </w:p>
        </w:tc>
        <w:tc>
          <w:tcPr>
            <w:tcW w:w="1000" w:type="dxa"/>
            <w:tcBorders>
              <w:top w:val="nil"/>
              <w:left w:val="nil"/>
              <w:bottom w:val="single" w:sz="4" w:space="0" w:color="auto"/>
              <w:right w:val="single" w:sz="4" w:space="0" w:color="auto"/>
            </w:tcBorders>
            <w:noWrap/>
            <w:vAlign w:val="bottom"/>
            <w:hideMark/>
          </w:tcPr>
          <w:p w14:paraId="0DFBA21D"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476 €</w:t>
            </w:r>
          </w:p>
        </w:tc>
        <w:tc>
          <w:tcPr>
            <w:tcW w:w="1000" w:type="dxa"/>
            <w:tcBorders>
              <w:top w:val="nil"/>
              <w:left w:val="nil"/>
              <w:bottom w:val="single" w:sz="4" w:space="0" w:color="auto"/>
              <w:right w:val="single" w:sz="4" w:space="0" w:color="auto"/>
            </w:tcBorders>
            <w:noWrap/>
            <w:vAlign w:val="bottom"/>
            <w:hideMark/>
          </w:tcPr>
          <w:p w14:paraId="0986F78C"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487 €</w:t>
            </w:r>
          </w:p>
        </w:tc>
        <w:tc>
          <w:tcPr>
            <w:tcW w:w="1000" w:type="dxa"/>
            <w:tcBorders>
              <w:top w:val="nil"/>
              <w:left w:val="nil"/>
              <w:bottom w:val="single" w:sz="4" w:space="0" w:color="auto"/>
              <w:right w:val="single" w:sz="4" w:space="0" w:color="auto"/>
            </w:tcBorders>
            <w:noWrap/>
            <w:vAlign w:val="bottom"/>
            <w:hideMark/>
          </w:tcPr>
          <w:p w14:paraId="19D37481"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498 €</w:t>
            </w:r>
          </w:p>
        </w:tc>
      </w:tr>
      <w:tr w:rsidR="00A66B31" w:rsidRPr="008B2AE2" w14:paraId="4406A30E" w14:textId="77777777" w:rsidTr="008E294D">
        <w:trPr>
          <w:trHeight w:val="290"/>
        </w:trPr>
        <w:tc>
          <w:tcPr>
            <w:tcW w:w="1838" w:type="dxa"/>
            <w:tcBorders>
              <w:top w:val="nil"/>
              <w:left w:val="single" w:sz="4" w:space="0" w:color="auto"/>
              <w:bottom w:val="single" w:sz="4" w:space="0" w:color="auto"/>
              <w:right w:val="single" w:sz="4" w:space="0" w:color="auto"/>
            </w:tcBorders>
            <w:noWrap/>
            <w:vAlign w:val="bottom"/>
            <w:hideMark/>
          </w:tcPr>
          <w:p w14:paraId="25BC611C"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Funktionsstufe 1b</w:t>
            </w:r>
          </w:p>
        </w:tc>
        <w:tc>
          <w:tcPr>
            <w:tcW w:w="903" w:type="dxa"/>
            <w:tcBorders>
              <w:top w:val="nil"/>
              <w:left w:val="nil"/>
              <w:bottom w:val="single" w:sz="4" w:space="0" w:color="auto"/>
              <w:right w:val="single" w:sz="4" w:space="0" w:color="auto"/>
            </w:tcBorders>
            <w:noWrap/>
            <w:vAlign w:val="bottom"/>
            <w:hideMark/>
          </w:tcPr>
          <w:p w14:paraId="46E6287E"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1.000 €</w:t>
            </w:r>
          </w:p>
        </w:tc>
        <w:tc>
          <w:tcPr>
            <w:tcW w:w="1000" w:type="dxa"/>
            <w:tcBorders>
              <w:top w:val="nil"/>
              <w:left w:val="nil"/>
              <w:bottom w:val="single" w:sz="4" w:space="0" w:color="auto"/>
              <w:right w:val="single" w:sz="4" w:space="0" w:color="auto"/>
            </w:tcBorders>
            <w:noWrap/>
            <w:vAlign w:val="bottom"/>
            <w:hideMark/>
          </w:tcPr>
          <w:p w14:paraId="06AC41E5"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1.022 €</w:t>
            </w:r>
          </w:p>
        </w:tc>
        <w:tc>
          <w:tcPr>
            <w:tcW w:w="1000" w:type="dxa"/>
            <w:tcBorders>
              <w:top w:val="nil"/>
              <w:left w:val="nil"/>
              <w:bottom w:val="single" w:sz="4" w:space="0" w:color="auto"/>
              <w:right w:val="single" w:sz="4" w:space="0" w:color="auto"/>
            </w:tcBorders>
            <w:noWrap/>
            <w:vAlign w:val="bottom"/>
            <w:hideMark/>
          </w:tcPr>
          <w:p w14:paraId="196892AF"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1.045 €</w:t>
            </w:r>
          </w:p>
        </w:tc>
        <w:tc>
          <w:tcPr>
            <w:tcW w:w="1000" w:type="dxa"/>
            <w:tcBorders>
              <w:top w:val="nil"/>
              <w:left w:val="nil"/>
              <w:bottom w:val="single" w:sz="4" w:space="0" w:color="auto"/>
              <w:right w:val="single" w:sz="4" w:space="0" w:color="auto"/>
            </w:tcBorders>
            <w:noWrap/>
            <w:vAlign w:val="bottom"/>
            <w:hideMark/>
          </w:tcPr>
          <w:p w14:paraId="5BD008A8"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1.069 €</w:t>
            </w:r>
          </w:p>
        </w:tc>
        <w:tc>
          <w:tcPr>
            <w:tcW w:w="1000" w:type="dxa"/>
            <w:tcBorders>
              <w:top w:val="nil"/>
              <w:left w:val="nil"/>
              <w:bottom w:val="single" w:sz="4" w:space="0" w:color="auto"/>
              <w:right w:val="single" w:sz="4" w:space="0" w:color="auto"/>
            </w:tcBorders>
            <w:noWrap/>
            <w:vAlign w:val="bottom"/>
            <w:hideMark/>
          </w:tcPr>
          <w:p w14:paraId="56E90100"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1.093 €</w:t>
            </w:r>
          </w:p>
        </w:tc>
        <w:tc>
          <w:tcPr>
            <w:tcW w:w="1000" w:type="dxa"/>
            <w:tcBorders>
              <w:top w:val="nil"/>
              <w:left w:val="nil"/>
              <w:bottom w:val="single" w:sz="4" w:space="0" w:color="auto"/>
              <w:right w:val="single" w:sz="4" w:space="0" w:color="auto"/>
            </w:tcBorders>
            <w:noWrap/>
            <w:vAlign w:val="bottom"/>
            <w:hideMark/>
          </w:tcPr>
          <w:p w14:paraId="43D85363"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1.118 €</w:t>
            </w:r>
          </w:p>
        </w:tc>
        <w:tc>
          <w:tcPr>
            <w:tcW w:w="1000" w:type="dxa"/>
            <w:tcBorders>
              <w:top w:val="nil"/>
              <w:left w:val="nil"/>
              <w:bottom w:val="single" w:sz="4" w:space="0" w:color="auto"/>
              <w:right w:val="single" w:sz="4" w:space="0" w:color="auto"/>
            </w:tcBorders>
            <w:noWrap/>
            <w:vAlign w:val="bottom"/>
            <w:hideMark/>
          </w:tcPr>
          <w:p w14:paraId="5D03D681"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1.144 €</w:t>
            </w:r>
          </w:p>
        </w:tc>
        <w:tc>
          <w:tcPr>
            <w:tcW w:w="1000" w:type="dxa"/>
            <w:tcBorders>
              <w:top w:val="nil"/>
              <w:left w:val="nil"/>
              <w:bottom w:val="single" w:sz="4" w:space="0" w:color="auto"/>
              <w:right w:val="single" w:sz="4" w:space="0" w:color="auto"/>
            </w:tcBorders>
            <w:noWrap/>
            <w:vAlign w:val="bottom"/>
            <w:hideMark/>
          </w:tcPr>
          <w:p w14:paraId="7748EF06"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1.170 €</w:t>
            </w:r>
          </w:p>
        </w:tc>
      </w:tr>
      <w:tr w:rsidR="00A66B31" w:rsidRPr="008B2AE2" w14:paraId="47A94A6B" w14:textId="77777777" w:rsidTr="008E294D">
        <w:trPr>
          <w:trHeight w:val="290"/>
        </w:trPr>
        <w:tc>
          <w:tcPr>
            <w:tcW w:w="1838" w:type="dxa"/>
            <w:tcBorders>
              <w:top w:val="nil"/>
              <w:left w:val="single" w:sz="4" w:space="0" w:color="auto"/>
              <w:bottom w:val="single" w:sz="4" w:space="0" w:color="auto"/>
              <w:right w:val="single" w:sz="4" w:space="0" w:color="auto"/>
            </w:tcBorders>
            <w:noWrap/>
            <w:vAlign w:val="bottom"/>
            <w:hideMark/>
          </w:tcPr>
          <w:p w14:paraId="4DAA1CE3"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Funktionsstufe 2</w:t>
            </w:r>
          </w:p>
        </w:tc>
        <w:tc>
          <w:tcPr>
            <w:tcW w:w="903" w:type="dxa"/>
            <w:tcBorders>
              <w:top w:val="nil"/>
              <w:left w:val="nil"/>
              <w:bottom w:val="single" w:sz="4" w:space="0" w:color="auto"/>
              <w:right w:val="single" w:sz="4" w:space="0" w:color="auto"/>
            </w:tcBorders>
            <w:noWrap/>
            <w:vAlign w:val="bottom"/>
            <w:hideMark/>
          </w:tcPr>
          <w:p w14:paraId="12231146"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3.763 €</w:t>
            </w:r>
          </w:p>
        </w:tc>
        <w:tc>
          <w:tcPr>
            <w:tcW w:w="1000" w:type="dxa"/>
            <w:tcBorders>
              <w:top w:val="nil"/>
              <w:left w:val="nil"/>
              <w:bottom w:val="single" w:sz="4" w:space="0" w:color="auto"/>
              <w:right w:val="single" w:sz="4" w:space="0" w:color="auto"/>
            </w:tcBorders>
            <w:noWrap/>
            <w:vAlign w:val="bottom"/>
            <w:hideMark/>
          </w:tcPr>
          <w:p w14:paraId="665A77FA"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3.849 €</w:t>
            </w:r>
          </w:p>
        </w:tc>
        <w:tc>
          <w:tcPr>
            <w:tcW w:w="1000" w:type="dxa"/>
            <w:tcBorders>
              <w:top w:val="nil"/>
              <w:left w:val="nil"/>
              <w:bottom w:val="single" w:sz="4" w:space="0" w:color="auto"/>
              <w:right w:val="single" w:sz="4" w:space="0" w:color="auto"/>
            </w:tcBorders>
            <w:noWrap/>
            <w:vAlign w:val="bottom"/>
            <w:hideMark/>
          </w:tcPr>
          <w:p w14:paraId="37B9B1F3"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3.936 €</w:t>
            </w:r>
          </w:p>
        </w:tc>
        <w:tc>
          <w:tcPr>
            <w:tcW w:w="1000" w:type="dxa"/>
            <w:tcBorders>
              <w:top w:val="nil"/>
              <w:left w:val="nil"/>
              <w:bottom w:val="single" w:sz="4" w:space="0" w:color="auto"/>
              <w:right w:val="single" w:sz="4" w:space="0" w:color="auto"/>
            </w:tcBorders>
            <w:noWrap/>
            <w:vAlign w:val="bottom"/>
            <w:hideMark/>
          </w:tcPr>
          <w:p w14:paraId="69EC81FB"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4.026 €</w:t>
            </w:r>
          </w:p>
        </w:tc>
        <w:tc>
          <w:tcPr>
            <w:tcW w:w="1000" w:type="dxa"/>
            <w:tcBorders>
              <w:top w:val="nil"/>
              <w:left w:val="nil"/>
              <w:bottom w:val="single" w:sz="4" w:space="0" w:color="auto"/>
              <w:right w:val="single" w:sz="4" w:space="0" w:color="auto"/>
            </w:tcBorders>
            <w:noWrap/>
            <w:vAlign w:val="bottom"/>
            <w:hideMark/>
          </w:tcPr>
          <w:p w14:paraId="314357B2"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4.117 €</w:t>
            </w:r>
          </w:p>
        </w:tc>
        <w:tc>
          <w:tcPr>
            <w:tcW w:w="1000" w:type="dxa"/>
            <w:tcBorders>
              <w:top w:val="nil"/>
              <w:left w:val="nil"/>
              <w:bottom w:val="single" w:sz="4" w:space="0" w:color="auto"/>
              <w:right w:val="single" w:sz="4" w:space="0" w:color="auto"/>
            </w:tcBorders>
            <w:noWrap/>
            <w:vAlign w:val="bottom"/>
            <w:hideMark/>
          </w:tcPr>
          <w:p w14:paraId="7F881583"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4.210 €</w:t>
            </w:r>
          </w:p>
        </w:tc>
        <w:tc>
          <w:tcPr>
            <w:tcW w:w="1000" w:type="dxa"/>
            <w:tcBorders>
              <w:top w:val="nil"/>
              <w:left w:val="nil"/>
              <w:bottom w:val="single" w:sz="4" w:space="0" w:color="auto"/>
              <w:right w:val="single" w:sz="4" w:space="0" w:color="auto"/>
            </w:tcBorders>
            <w:noWrap/>
            <w:vAlign w:val="bottom"/>
            <w:hideMark/>
          </w:tcPr>
          <w:p w14:paraId="22AE383B"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4.306 €</w:t>
            </w:r>
          </w:p>
        </w:tc>
        <w:tc>
          <w:tcPr>
            <w:tcW w:w="1000" w:type="dxa"/>
            <w:tcBorders>
              <w:top w:val="nil"/>
              <w:left w:val="nil"/>
              <w:bottom w:val="single" w:sz="4" w:space="0" w:color="auto"/>
              <w:right w:val="single" w:sz="4" w:space="0" w:color="auto"/>
            </w:tcBorders>
            <w:noWrap/>
            <w:vAlign w:val="bottom"/>
            <w:hideMark/>
          </w:tcPr>
          <w:p w14:paraId="10AFE9CE"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4.404 €</w:t>
            </w:r>
          </w:p>
        </w:tc>
      </w:tr>
      <w:tr w:rsidR="00A66B31" w:rsidRPr="008B2AE2" w14:paraId="7431934A" w14:textId="77777777" w:rsidTr="008E294D">
        <w:trPr>
          <w:trHeight w:val="290"/>
        </w:trPr>
        <w:tc>
          <w:tcPr>
            <w:tcW w:w="1838" w:type="dxa"/>
            <w:tcBorders>
              <w:top w:val="nil"/>
              <w:left w:val="single" w:sz="4" w:space="0" w:color="auto"/>
              <w:bottom w:val="single" w:sz="4" w:space="0" w:color="auto"/>
              <w:right w:val="single" w:sz="4" w:space="0" w:color="auto"/>
            </w:tcBorders>
            <w:noWrap/>
            <w:vAlign w:val="bottom"/>
            <w:hideMark/>
          </w:tcPr>
          <w:p w14:paraId="4498C8C2"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Funktionsstufe 3</w:t>
            </w:r>
          </w:p>
        </w:tc>
        <w:tc>
          <w:tcPr>
            <w:tcW w:w="903" w:type="dxa"/>
            <w:tcBorders>
              <w:top w:val="nil"/>
              <w:left w:val="nil"/>
              <w:bottom w:val="single" w:sz="4" w:space="0" w:color="auto"/>
              <w:right w:val="single" w:sz="4" w:space="0" w:color="auto"/>
            </w:tcBorders>
            <w:noWrap/>
            <w:vAlign w:val="bottom"/>
            <w:hideMark/>
          </w:tcPr>
          <w:p w14:paraId="345A84CE"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4.324 €</w:t>
            </w:r>
          </w:p>
        </w:tc>
        <w:tc>
          <w:tcPr>
            <w:tcW w:w="1000" w:type="dxa"/>
            <w:tcBorders>
              <w:top w:val="nil"/>
              <w:left w:val="nil"/>
              <w:bottom w:val="single" w:sz="4" w:space="0" w:color="auto"/>
              <w:right w:val="single" w:sz="4" w:space="0" w:color="auto"/>
            </w:tcBorders>
            <w:noWrap/>
            <w:vAlign w:val="bottom"/>
            <w:hideMark/>
          </w:tcPr>
          <w:p w14:paraId="0FA5B3DF"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4.422 €</w:t>
            </w:r>
          </w:p>
        </w:tc>
        <w:tc>
          <w:tcPr>
            <w:tcW w:w="1000" w:type="dxa"/>
            <w:tcBorders>
              <w:top w:val="nil"/>
              <w:left w:val="nil"/>
              <w:bottom w:val="single" w:sz="4" w:space="0" w:color="auto"/>
              <w:right w:val="single" w:sz="4" w:space="0" w:color="auto"/>
            </w:tcBorders>
            <w:noWrap/>
            <w:vAlign w:val="bottom"/>
            <w:hideMark/>
          </w:tcPr>
          <w:p w14:paraId="62F22E1A"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4.522 €</w:t>
            </w:r>
          </w:p>
        </w:tc>
        <w:tc>
          <w:tcPr>
            <w:tcW w:w="1000" w:type="dxa"/>
            <w:tcBorders>
              <w:top w:val="nil"/>
              <w:left w:val="nil"/>
              <w:bottom w:val="single" w:sz="4" w:space="0" w:color="auto"/>
              <w:right w:val="single" w:sz="4" w:space="0" w:color="auto"/>
            </w:tcBorders>
            <w:noWrap/>
            <w:vAlign w:val="bottom"/>
            <w:hideMark/>
          </w:tcPr>
          <w:p w14:paraId="7FDF8F35"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4.625 €</w:t>
            </w:r>
          </w:p>
        </w:tc>
        <w:tc>
          <w:tcPr>
            <w:tcW w:w="1000" w:type="dxa"/>
            <w:tcBorders>
              <w:top w:val="nil"/>
              <w:left w:val="nil"/>
              <w:bottom w:val="single" w:sz="4" w:space="0" w:color="auto"/>
              <w:right w:val="single" w:sz="4" w:space="0" w:color="auto"/>
            </w:tcBorders>
            <w:noWrap/>
            <w:vAlign w:val="bottom"/>
            <w:hideMark/>
          </w:tcPr>
          <w:p w14:paraId="3E85D672"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4.730 €</w:t>
            </w:r>
          </w:p>
        </w:tc>
        <w:tc>
          <w:tcPr>
            <w:tcW w:w="1000" w:type="dxa"/>
            <w:tcBorders>
              <w:top w:val="nil"/>
              <w:left w:val="nil"/>
              <w:bottom w:val="single" w:sz="4" w:space="0" w:color="auto"/>
              <w:right w:val="single" w:sz="4" w:space="0" w:color="auto"/>
            </w:tcBorders>
            <w:noWrap/>
            <w:vAlign w:val="bottom"/>
            <w:hideMark/>
          </w:tcPr>
          <w:p w14:paraId="2F80A65C"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4.838 €</w:t>
            </w:r>
          </w:p>
        </w:tc>
        <w:tc>
          <w:tcPr>
            <w:tcW w:w="1000" w:type="dxa"/>
            <w:tcBorders>
              <w:top w:val="nil"/>
              <w:left w:val="nil"/>
              <w:bottom w:val="single" w:sz="4" w:space="0" w:color="auto"/>
              <w:right w:val="single" w:sz="4" w:space="0" w:color="auto"/>
            </w:tcBorders>
            <w:noWrap/>
            <w:vAlign w:val="bottom"/>
            <w:hideMark/>
          </w:tcPr>
          <w:p w14:paraId="757AF42E"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4.947 €</w:t>
            </w:r>
          </w:p>
        </w:tc>
        <w:tc>
          <w:tcPr>
            <w:tcW w:w="1000" w:type="dxa"/>
            <w:tcBorders>
              <w:top w:val="nil"/>
              <w:left w:val="nil"/>
              <w:bottom w:val="single" w:sz="4" w:space="0" w:color="auto"/>
              <w:right w:val="single" w:sz="4" w:space="0" w:color="auto"/>
            </w:tcBorders>
            <w:noWrap/>
            <w:vAlign w:val="bottom"/>
            <w:hideMark/>
          </w:tcPr>
          <w:p w14:paraId="08F683F9"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5.060 €</w:t>
            </w:r>
          </w:p>
        </w:tc>
      </w:tr>
      <w:tr w:rsidR="00A66B31" w:rsidRPr="008B2AE2" w14:paraId="5A595C86" w14:textId="77777777" w:rsidTr="008E294D">
        <w:trPr>
          <w:trHeight w:val="290"/>
        </w:trPr>
        <w:tc>
          <w:tcPr>
            <w:tcW w:w="1838" w:type="dxa"/>
            <w:tcBorders>
              <w:top w:val="nil"/>
              <w:left w:val="single" w:sz="4" w:space="0" w:color="auto"/>
              <w:bottom w:val="single" w:sz="4" w:space="0" w:color="auto"/>
              <w:right w:val="single" w:sz="4" w:space="0" w:color="auto"/>
            </w:tcBorders>
            <w:noWrap/>
            <w:vAlign w:val="bottom"/>
            <w:hideMark/>
          </w:tcPr>
          <w:p w14:paraId="2CEC61B0"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Funktionsstufe 4</w:t>
            </w:r>
          </w:p>
        </w:tc>
        <w:tc>
          <w:tcPr>
            <w:tcW w:w="903" w:type="dxa"/>
            <w:tcBorders>
              <w:top w:val="nil"/>
              <w:left w:val="nil"/>
              <w:bottom w:val="single" w:sz="4" w:space="0" w:color="auto"/>
              <w:right w:val="single" w:sz="4" w:space="0" w:color="auto"/>
            </w:tcBorders>
            <w:noWrap/>
            <w:vAlign w:val="bottom"/>
            <w:hideMark/>
          </w:tcPr>
          <w:p w14:paraId="036C74AF"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4.938 €</w:t>
            </w:r>
          </w:p>
        </w:tc>
        <w:tc>
          <w:tcPr>
            <w:tcW w:w="1000" w:type="dxa"/>
            <w:tcBorders>
              <w:top w:val="nil"/>
              <w:left w:val="nil"/>
              <w:bottom w:val="single" w:sz="4" w:space="0" w:color="auto"/>
              <w:right w:val="single" w:sz="4" w:space="0" w:color="auto"/>
            </w:tcBorders>
            <w:noWrap/>
            <w:vAlign w:val="bottom"/>
            <w:hideMark/>
          </w:tcPr>
          <w:p w14:paraId="72C50595"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5.050 €</w:t>
            </w:r>
          </w:p>
        </w:tc>
        <w:tc>
          <w:tcPr>
            <w:tcW w:w="1000" w:type="dxa"/>
            <w:tcBorders>
              <w:top w:val="nil"/>
              <w:left w:val="nil"/>
              <w:bottom w:val="single" w:sz="4" w:space="0" w:color="auto"/>
              <w:right w:val="single" w:sz="4" w:space="0" w:color="auto"/>
            </w:tcBorders>
            <w:noWrap/>
            <w:vAlign w:val="bottom"/>
            <w:hideMark/>
          </w:tcPr>
          <w:p w14:paraId="0B74252F"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5.165 €</w:t>
            </w:r>
          </w:p>
        </w:tc>
        <w:tc>
          <w:tcPr>
            <w:tcW w:w="1000" w:type="dxa"/>
            <w:tcBorders>
              <w:top w:val="nil"/>
              <w:left w:val="nil"/>
              <w:bottom w:val="single" w:sz="4" w:space="0" w:color="auto"/>
              <w:right w:val="single" w:sz="4" w:space="0" w:color="auto"/>
            </w:tcBorders>
            <w:noWrap/>
            <w:vAlign w:val="bottom"/>
            <w:hideMark/>
          </w:tcPr>
          <w:p w14:paraId="01C33FE3"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5.282 €</w:t>
            </w:r>
          </w:p>
        </w:tc>
        <w:tc>
          <w:tcPr>
            <w:tcW w:w="1000" w:type="dxa"/>
            <w:tcBorders>
              <w:top w:val="nil"/>
              <w:left w:val="nil"/>
              <w:bottom w:val="single" w:sz="4" w:space="0" w:color="auto"/>
              <w:right w:val="single" w:sz="4" w:space="0" w:color="auto"/>
            </w:tcBorders>
            <w:noWrap/>
            <w:vAlign w:val="bottom"/>
            <w:hideMark/>
          </w:tcPr>
          <w:p w14:paraId="3A76A9B4"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5.402 €</w:t>
            </w:r>
          </w:p>
        </w:tc>
        <w:tc>
          <w:tcPr>
            <w:tcW w:w="1000" w:type="dxa"/>
            <w:tcBorders>
              <w:top w:val="nil"/>
              <w:left w:val="nil"/>
              <w:bottom w:val="single" w:sz="4" w:space="0" w:color="auto"/>
              <w:right w:val="single" w:sz="4" w:space="0" w:color="auto"/>
            </w:tcBorders>
            <w:noWrap/>
            <w:vAlign w:val="bottom"/>
            <w:hideMark/>
          </w:tcPr>
          <w:p w14:paraId="755927BF"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5.525 €</w:t>
            </w:r>
          </w:p>
        </w:tc>
        <w:tc>
          <w:tcPr>
            <w:tcW w:w="1000" w:type="dxa"/>
            <w:tcBorders>
              <w:top w:val="nil"/>
              <w:left w:val="nil"/>
              <w:bottom w:val="single" w:sz="4" w:space="0" w:color="auto"/>
              <w:right w:val="single" w:sz="4" w:space="0" w:color="auto"/>
            </w:tcBorders>
            <w:noWrap/>
            <w:vAlign w:val="bottom"/>
            <w:hideMark/>
          </w:tcPr>
          <w:p w14:paraId="7856B48F"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5.650 €</w:t>
            </w:r>
          </w:p>
        </w:tc>
        <w:tc>
          <w:tcPr>
            <w:tcW w:w="1000" w:type="dxa"/>
            <w:tcBorders>
              <w:top w:val="nil"/>
              <w:left w:val="nil"/>
              <w:bottom w:val="single" w:sz="4" w:space="0" w:color="auto"/>
              <w:right w:val="single" w:sz="4" w:space="0" w:color="auto"/>
            </w:tcBorders>
            <w:noWrap/>
            <w:vAlign w:val="bottom"/>
            <w:hideMark/>
          </w:tcPr>
          <w:p w14:paraId="3159BAA0"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5.778 €</w:t>
            </w:r>
          </w:p>
        </w:tc>
      </w:tr>
      <w:tr w:rsidR="00A66B31" w:rsidRPr="008B2AE2" w14:paraId="6680DDCB" w14:textId="77777777" w:rsidTr="008E294D">
        <w:trPr>
          <w:trHeight w:val="290"/>
        </w:trPr>
        <w:tc>
          <w:tcPr>
            <w:tcW w:w="1838" w:type="dxa"/>
            <w:tcBorders>
              <w:top w:val="nil"/>
              <w:left w:val="single" w:sz="4" w:space="0" w:color="auto"/>
              <w:bottom w:val="single" w:sz="4" w:space="0" w:color="auto"/>
              <w:right w:val="single" w:sz="4" w:space="0" w:color="auto"/>
            </w:tcBorders>
            <w:noWrap/>
            <w:vAlign w:val="bottom"/>
            <w:hideMark/>
          </w:tcPr>
          <w:p w14:paraId="313F56B3"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Funktionsstufe 5</w:t>
            </w:r>
          </w:p>
        </w:tc>
        <w:tc>
          <w:tcPr>
            <w:tcW w:w="903" w:type="dxa"/>
            <w:tcBorders>
              <w:top w:val="nil"/>
              <w:left w:val="nil"/>
              <w:bottom w:val="single" w:sz="4" w:space="0" w:color="auto"/>
              <w:right w:val="single" w:sz="4" w:space="0" w:color="auto"/>
            </w:tcBorders>
            <w:noWrap/>
            <w:vAlign w:val="bottom"/>
            <w:hideMark/>
          </w:tcPr>
          <w:p w14:paraId="65EDD895"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5.670 €</w:t>
            </w:r>
          </w:p>
        </w:tc>
        <w:tc>
          <w:tcPr>
            <w:tcW w:w="1000" w:type="dxa"/>
            <w:tcBorders>
              <w:top w:val="nil"/>
              <w:left w:val="nil"/>
              <w:bottom w:val="single" w:sz="4" w:space="0" w:color="auto"/>
              <w:right w:val="single" w:sz="4" w:space="0" w:color="auto"/>
            </w:tcBorders>
            <w:noWrap/>
            <w:vAlign w:val="bottom"/>
            <w:hideMark/>
          </w:tcPr>
          <w:p w14:paraId="709AB7E0"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5.798 €</w:t>
            </w:r>
          </w:p>
        </w:tc>
        <w:tc>
          <w:tcPr>
            <w:tcW w:w="1000" w:type="dxa"/>
            <w:tcBorders>
              <w:top w:val="nil"/>
              <w:left w:val="nil"/>
              <w:bottom w:val="single" w:sz="4" w:space="0" w:color="auto"/>
              <w:right w:val="single" w:sz="4" w:space="0" w:color="auto"/>
            </w:tcBorders>
            <w:noWrap/>
            <w:vAlign w:val="bottom"/>
            <w:hideMark/>
          </w:tcPr>
          <w:p w14:paraId="7A8CEDDA"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5.930 €</w:t>
            </w:r>
          </w:p>
        </w:tc>
        <w:tc>
          <w:tcPr>
            <w:tcW w:w="1000" w:type="dxa"/>
            <w:tcBorders>
              <w:top w:val="nil"/>
              <w:left w:val="nil"/>
              <w:bottom w:val="single" w:sz="4" w:space="0" w:color="auto"/>
              <w:right w:val="single" w:sz="4" w:space="0" w:color="auto"/>
            </w:tcBorders>
            <w:noWrap/>
            <w:vAlign w:val="bottom"/>
            <w:hideMark/>
          </w:tcPr>
          <w:p w14:paraId="0B8DD08A"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6.065 €</w:t>
            </w:r>
          </w:p>
        </w:tc>
        <w:tc>
          <w:tcPr>
            <w:tcW w:w="1000" w:type="dxa"/>
            <w:tcBorders>
              <w:top w:val="nil"/>
              <w:left w:val="nil"/>
              <w:bottom w:val="single" w:sz="4" w:space="0" w:color="auto"/>
              <w:right w:val="single" w:sz="4" w:space="0" w:color="auto"/>
            </w:tcBorders>
            <w:noWrap/>
            <w:vAlign w:val="bottom"/>
            <w:hideMark/>
          </w:tcPr>
          <w:p w14:paraId="5A85F9D9"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6.202 €</w:t>
            </w:r>
          </w:p>
        </w:tc>
        <w:tc>
          <w:tcPr>
            <w:tcW w:w="1000" w:type="dxa"/>
            <w:tcBorders>
              <w:top w:val="nil"/>
              <w:left w:val="nil"/>
              <w:bottom w:val="single" w:sz="4" w:space="0" w:color="auto"/>
              <w:right w:val="single" w:sz="4" w:space="0" w:color="auto"/>
            </w:tcBorders>
            <w:noWrap/>
            <w:vAlign w:val="bottom"/>
            <w:hideMark/>
          </w:tcPr>
          <w:p w14:paraId="60CEF11E"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6.343 €</w:t>
            </w:r>
          </w:p>
        </w:tc>
        <w:tc>
          <w:tcPr>
            <w:tcW w:w="1000" w:type="dxa"/>
            <w:tcBorders>
              <w:top w:val="nil"/>
              <w:left w:val="nil"/>
              <w:bottom w:val="single" w:sz="4" w:space="0" w:color="auto"/>
              <w:right w:val="single" w:sz="4" w:space="0" w:color="auto"/>
            </w:tcBorders>
            <w:noWrap/>
            <w:vAlign w:val="bottom"/>
            <w:hideMark/>
          </w:tcPr>
          <w:p w14:paraId="7E04EC54"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6.487 €</w:t>
            </w:r>
          </w:p>
        </w:tc>
        <w:tc>
          <w:tcPr>
            <w:tcW w:w="1000" w:type="dxa"/>
            <w:tcBorders>
              <w:top w:val="nil"/>
              <w:left w:val="nil"/>
              <w:bottom w:val="single" w:sz="4" w:space="0" w:color="auto"/>
              <w:right w:val="single" w:sz="4" w:space="0" w:color="auto"/>
            </w:tcBorders>
            <w:noWrap/>
            <w:vAlign w:val="bottom"/>
            <w:hideMark/>
          </w:tcPr>
          <w:p w14:paraId="1DEB49F4"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6.634 €</w:t>
            </w:r>
          </w:p>
        </w:tc>
      </w:tr>
      <w:tr w:rsidR="00A66B31" w:rsidRPr="008B2AE2" w14:paraId="0BADA4EB" w14:textId="77777777" w:rsidTr="008E294D">
        <w:trPr>
          <w:trHeight w:val="290"/>
        </w:trPr>
        <w:tc>
          <w:tcPr>
            <w:tcW w:w="1838" w:type="dxa"/>
            <w:tcBorders>
              <w:top w:val="nil"/>
              <w:left w:val="single" w:sz="4" w:space="0" w:color="auto"/>
              <w:bottom w:val="single" w:sz="4" w:space="0" w:color="auto"/>
              <w:right w:val="single" w:sz="4" w:space="0" w:color="auto"/>
            </w:tcBorders>
            <w:noWrap/>
            <w:vAlign w:val="bottom"/>
            <w:hideMark/>
          </w:tcPr>
          <w:p w14:paraId="78C9B1E0"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Funktionsstufe 6</w:t>
            </w:r>
          </w:p>
        </w:tc>
        <w:tc>
          <w:tcPr>
            <w:tcW w:w="903" w:type="dxa"/>
            <w:tcBorders>
              <w:top w:val="nil"/>
              <w:left w:val="nil"/>
              <w:bottom w:val="single" w:sz="4" w:space="0" w:color="auto"/>
              <w:right w:val="single" w:sz="4" w:space="0" w:color="auto"/>
            </w:tcBorders>
            <w:noWrap/>
            <w:vAlign w:val="bottom"/>
            <w:hideMark/>
          </w:tcPr>
          <w:p w14:paraId="6CB9C540"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6.492 €</w:t>
            </w:r>
          </w:p>
        </w:tc>
        <w:tc>
          <w:tcPr>
            <w:tcW w:w="1000" w:type="dxa"/>
            <w:tcBorders>
              <w:top w:val="nil"/>
              <w:left w:val="nil"/>
              <w:bottom w:val="single" w:sz="4" w:space="0" w:color="auto"/>
              <w:right w:val="single" w:sz="4" w:space="0" w:color="auto"/>
            </w:tcBorders>
            <w:noWrap/>
            <w:vAlign w:val="bottom"/>
            <w:hideMark/>
          </w:tcPr>
          <w:p w14:paraId="2DD1113A"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6.640 €</w:t>
            </w:r>
          </w:p>
        </w:tc>
        <w:tc>
          <w:tcPr>
            <w:tcW w:w="1000" w:type="dxa"/>
            <w:tcBorders>
              <w:top w:val="nil"/>
              <w:left w:val="nil"/>
              <w:bottom w:val="single" w:sz="4" w:space="0" w:color="auto"/>
              <w:right w:val="single" w:sz="4" w:space="0" w:color="auto"/>
            </w:tcBorders>
            <w:noWrap/>
            <w:vAlign w:val="bottom"/>
            <w:hideMark/>
          </w:tcPr>
          <w:p w14:paraId="488EA3FA"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6.790 €</w:t>
            </w:r>
          </w:p>
        </w:tc>
        <w:tc>
          <w:tcPr>
            <w:tcW w:w="1000" w:type="dxa"/>
            <w:tcBorders>
              <w:top w:val="nil"/>
              <w:left w:val="nil"/>
              <w:bottom w:val="single" w:sz="4" w:space="0" w:color="auto"/>
              <w:right w:val="single" w:sz="4" w:space="0" w:color="auto"/>
            </w:tcBorders>
            <w:noWrap/>
            <w:vAlign w:val="bottom"/>
            <w:hideMark/>
          </w:tcPr>
          <w:p w14:paraId="233599B8"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6.944 €</w:t>
            </w:r>
          </w:p>
        </w:tc>
        <w:tc>
          <w:tcPr>
            <w:tcW w:w="1000" w:type="dxa"/>
            <w:tcBorders>
              <w:top w:val="nil"/>
              <w:left w:val="nil"/>
              <w:bottom w:val="single" w:sz="4" w:space="0" w:color="auto"/>
              <w:right w:val="single" w:sz="4" w:space="0" w:color="auto"/>
            </w:tcBorders>
            <w:noWrap/>
            <w:vAlign w:val="bottom"/>
            <w:hideMark/>
          </w:tcPr>
          <w:p w14:paraId="5A56F0E6"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7.102 €</w:t>
            </w:r>
          </w:p>
        </w:tc>
        <w:tc>
          <w:tcPr>
            <w:tcW w:w="1000" w:type="dxa"/>
            <w:tcBorders>
              <w:top w:val="nil"/>
              <w:left w:val="nil"/>
              <w:bottom w:val="single" w:sz="4" w:space="0" w:color="auto"/>
              <w:right w:val="single" w:sz="4" w:space="0" w:color="auto"/>
            </w:tcBorders>
            <w:noWrap/>
            <w:vAlign w:val="bottom"/>
            <w:hideMark/>
          </w:tcPr>
          <w:p w14:paraId="54648537"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7.263 €</w:t>
            </w:r>
          </w:p>
        </w:tc>
        <w:tc>
          <w:tcPr>
            <w:tcW w:w="1000" w:type="dxa"/>
            <w:tcBorders>
              <w:top w:val="nil"/>
              <w:left w:val="nil"/>
              <w:bottom w:val="single" w:sz="4" w:space="0" w:color="auto"/>
              <w:right w:val="single" w:sz="4" w:space="0" w:color="auto"/>
            </w:tcBorders>
            <w:noWrap/>
            <w:vAlign w:val="bottom"/>
            <w:hideMark/>
          </w:tcPr>
          <w:p w14:paraId="2F576AC5"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7.428 €</w:t>
            </w:r>
          </w:p>
        </w:tc>
        <w:tc>
          <w:tcPr>
            <w:tcW w:w="1000" w:type="dxa"/>
            <w:tcBorders>
              <w:top w:val="nil"/>
              <w:left w:val="nil"/>
              <w:bottom w:val="single" w:sz="4" w:space="0" w:color="auto"/>
              <w:right w:val="single" w:sz="4" w:space="0" w:color="auto"/>
            </w:tcBorders>
            <w:noWrap/>
            <w:vAlign w:val="bottom"/>
            <w:hideMark/>
          </w:tcPr>
          <w:p w14:paraId="47A7CE99"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7.597 €</w:t>
            </w:r>
          </w:p>
        </w:tc>
      </w:tr>
      <w:tr w:rsidR="00A66B31" w:rsidRPr="008B2AE2" w14:paraId="6F7524BF" w14:textId="77777777" w:rsidTr="008E294D">
        <w:trPr>
          <w:trHeight w:val="290"/>
        </w:trPr>
        <w:tc>
          <w:tcPr>
            <w:tcW w:w="1838" w:type="dxa"/>
            <w:tcBorders>
              <w:top w:val="nil"/>
              <w:left w:val="single" w:sz="4" w:space="0" w:color="auto"/>
              <w:bottom w:val="single" w:sz="4" w:space="0" w:color="auto"/>
              <w:right w:val="single" w:sz="4" w:space="0" w:color="auto"/>
            </w:tcBorders>
            <w:noWrap/>
            <w:vAlign w:val="bottom"/>
            <w:hideMark/>
          </w:tcPr>
          <w:p w14:paraId="1F9C7CFA"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Funktionsstufe 7</w:t>
            </w:r>
          </w:p>
        </w:tc>
        <w:tc>
          <w:tcPr>
            <w:tcW w:w="903" w:type="dxa"/>
            <w:tcBorders>
              <w:top w:val="nil"/>
              <w:left w:val="nil"/>
              <w:bottom w:val="single" w:sz="4" w:space="0" w:color="auto"/>
              <w:right w:val="single" w:sz="4" w:space="0" w:color="auto"/>
            </w:tcBorders>
            <w:noWrap/>
            <w:vAlign w:val="bottom"/>
            <w:hideMark/>
          </w:tcPr>
          <w:p w14:paraId="51733FBC"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7.957 €</w:t>
            </w:r>
          </w:p>
        </w:tc>
        <w:tc>
          <w:tcPr>
            <w:tcW w:w="1000" w:type="dxa"/>
            <w:tcBorders>
              <w:top w:val="nil"/>
              <w:left w:val="nil"/>
              <w:bottom w:val="single" w:sz="4" w:space="0" w:color="auto"/>
              <w:right w:val="single" w:sz="4" w:space="0" w:color="auto"/>
            </w:tcBorders>
            <w:noWrap/>
            <w:vAlign w:val="bottom"/>
            <w:hideMark/>
          </w:tcPr>
          <w:p w14:paraId="4D6102FC"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8.138 €</w:t>
            </w:r>
          </w:p>
        </w:tc>
        <w:tc>
          <w:tcPr>
            <w:tcW w:w="1000" w:type="dxa"/>
            <w:tcBorders>
              <w:top w:val="nil"/>
              <w:left w:val="nil"/>
              <w:bottom w:val="single" w:sz="4" w:space="0" w:color="auto"/>
              <w:right w:val="single" w:sz="4" w:space="0" w:color="auto"/>
            </w:tcBorders>
            <w:noWrap/>
            <w:vAlign w:val="bottom"/>
            <w:hideMark/>
          </w:tcPr>
          <w:p w14:paraId="1DBC68C6"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8.322 €</w:t>
            </w:r>
          </w:p>
        </w:tc>
        <w:tc>
          <w:tcPr>
            <w:tcW w:w="1000" w:type="dxa"/>
            <w:tcBorders>
              <w:top w:val="nil"/>
              <w:left w:val="nil"/>
              <w:bottom w:val="single" w:sz="4" w:space="0" w:color="auto"/>
              <w:right w:val="single" w:sz="4" w:space="0" w:color="auto"/>
            </w:tcBorders>
            <w:noWrap/>
            <w:vAlign w:val="bottom"/>
            <w:hideMark/>
          </w:tcPr>
          <w:p w14:paraId="600C24A2"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8.511 €</w:t>
            </w:r>
          </w:p>
        </w:tc>
        <w:tc>
          <w:tcPr>
            <w:tcW w:w="1000" w:type="dxa"/>
            <w:tcBorders>
              <w:top w:val="nil"/>
              <w:left w:val="nil"/>
              <w:bottom w:val="single" w:sz="4" w:space="0" w:color="auto"/>
              <w:right w:val="single" w:sz="4" w:space="0" w:color="auto"/>
            </w:tcBorders>
            <w:noWrap/>
            <w:vAlign w:val="bottom"/>
            <w:hideMark/>
          </w:tcPr>
          <w:p w14:paraId="4CE6373D"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8.705 €</w:t>
            </w:r>
          </w:p>
        </w:tc>
        <w:tc>
          <w:tcPr>
            <w:tcW w:w="1000" w:type="dxa"/>
            <w:tcBorders>
              <w:top w:val="nil"/>
              <w:left w:val="nil"/>
              <w:bottom w:val="single" w:sz="4" w:space="0" w:color="auto"/>
              <w:right w:val="single" w:sz="4" w:space="0" w:color="auto"/>
            </w:tcBorders>
            <w:noWrap/>
            <w:vAlign w:val="bottom"/>
            <w:hideMark/>
          </w:tcPr>
          <w:p w14:paraId="36E1F794"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8.902 €</w:t>
            </w:r>
          </w:p>
        </w:tc>
        <w:tc>
          <w:tcPr>
            <w:tcW w:w="1000" w:type="dxa"/>
            <w:tcBorders>
              <w:top w:val="nil"/>
              <w:left w:val="nil"/>
              <w:bottom w:val="single" w:sz="4" w:space="0" w:color="auto"/>
              <w:right w:val="single" w:sz="4" w:space="0" w:color="auto"/>
            </w:tcBorders>
            <w:noWrap/>
            <w:vAlign w:val="bottom"/>
            <w:hideMark/>
          </w:tcPr>
          <w:p w14:paraId="15E3A922"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9.104 €</w:t>
            </w:r>
          </w:p>
        </w:tc>
        <w:tc>
          <w:tcPr>
            <w:tcW w:w="1000" w:type="dxa"/>
            <w:tcBorders>
              <w:top w:val="nil"/>
              <w:left w:val="nil"/>
              <w:bottom w:val="single" w:sz="4" w:space="0" w:color="auto"/>
              <w:right w:val="single" w:sz="4" w:space="0" w:color="auto"/>
            </w:tcBorders>
            <w:noWrap/>
            <w:vAlign w:val="bottom"/>
            <w:hideMark/>
          </w:tcPr>
          <w:p w14:paraId="59DC31F3" w14:textId="77777777" w:rsidR="00A66B31" w:rsidRPr="008E294D" w:rsidRDefault="00A66B31" w:rsidP="008B2C33">
            <w:pPr>
              <w:jc w:val="both"/>
              <w:rPr>
                <w:rFonts w:ascii="Arial" w:hAnsi="Arial" w:cs="Arial"/>
                <w:sz w:val="20"/>
                <w:szCs w:val="20"/>
              </w:rPr>
            </w:pPr>
            <w:r w:rsidRPr="008E294D">
              <w:rPr>
                <w:rFonts w:ascii="Arial" w:hAnsi="Arial" w:cs="Arial"/>
                <w:sz w:val="20"/>
                <w:szCs w:val="20"/>
              </w:rPr>
              <w:t>9.311 €</w:t>
            </w:r>
          </w:p>
        </w:tc>
      </w:tr>
    </w:tbl>
    <w:p w14:paraId="7C0F9BAF" w14:textId="77777777" w:rsidR="00A66B31" w:rsidRPr="007F3005" w:rsidRDefault="00A66B31" w:rsidP="00A66B31">
      <w:pPr>
        <w:jc w:val="both"/>
        <w:rPr>
          <w:rFonts w:ascii="Arial" w:hAnsi="Arial" w:cs="Arial"/>
        </w:rPr>
      </w:pPr>
    </w:p>
    <w:p w14:paraId="7DD482C7" w14:textId="77777777" w:rsidR="00A66B31" w:rsidRDefault="00A66B31" w:rsidP="00A66B31">
      <w:pPr>
        <w:jc w:val="both"/>
        <w:rPr>
          <w:rFonts w:ascii="Arial" w:hAnsi="Arial" w:cs="Arial"/>
        </w:rPr>
      </w:pPr>
      <w:r w:rsidRPr="007F3005">
        <w:rPr>
          <w:rFonts w:ascii="Arial" w:hAnsi="Arial" w:cs="Arial"/>
        </w:rPr>
        <w:t>Die o.a. Sätze beziehen sich jeweils auf eine Vollzeitkraft.</w:t>
      </w:r>
      <w:r>
        <w:rPr>
          <w:rFonts w:ascii="Arial" w:hAnsi="Arial" w:cs="Arial"/>
        </w:rPr>
        <w:t xml:space="preserve"> Tariferhöhungen wurden berücksichtigt.</w:t>
      </w:r>
    </w:p>
    <w:p w14:paraId="5CAA1662" w14:textId="77777777" w:rsidR="008E294D" w:rsidRDefault="008E294D" w:rsidP="00A66B31">
      <w:pPr>
        <w:jc w:val="both"/>
        <w:rPr>
          <w:rFonts w:ascii="Arial" w:hAnsi="Arial" w:cs="Arial"/>
        </w:rPr>
      </w:pPr>
    </w:p>
    <w:p w14:paraId="0429A4D1" w14:textId="77777777" w:rsidR="008E294D" w:rsidRDefault="008E294D" w:rsidP="00A66B31">
      <w:pPr>
        <w:jc w:val="both"/>
        <w:rPr>
          <w:rFonts w:ascii="Arial" w:hAnsi="Arial" w:cs="Arial"/>
        </w:rPr>
      </w:pPr>
    </w:p>
    <w:p w14:paraId="4CA49907" w14:textId="77777777" w:rsidR="008E294D" w:rsidRDefault="008E294D" w:rsidP="00A66B31">
      <w:pPr>
        <w:jc w:val="both"/>
        <w:rPr>
          <w:rFonts w:ascii="Arial" w:hAnsi="Arial" w:cs="Arial"/>
        </w:rPr>
      </w:pPr>
    </w:p>
    <w:p w14:paraId="618F76BC" w14:textId="77777777" w:rsidR="00A66B31" w:rsidRPr="00A66B31" w:rsidRDefault="00A66B31" w:rsidP="00A66B31">
      <w:pPr>
        <w:pStyle w:val="Listenabsatz"/>
        <w:numPr>
          <w:ilvl w:val="0"/>
          <w:numId w:val="2"/>
        </w:numPr>
        <w:jc w:val="both"/>
        <w:rPr>
          <w:rFonts w:ascii="Arial" w:hAnsi="Arial" w:cs="Arial"/>
          <w:b/>
        </w:rPr>
      </w:pPr>
      <w:r w:rsidRPr="00A66B31">
        <w:rPr>
          <w:rFonts w:ascii="Arial" w:hAnsi="Arial" w:cs="Arial"/>
          <w:b/>
        </w:rPr>
        <w:t xml:space="preserve">Übersichtstabelle der Funktionsstufen </w:t>
      </w:r>
    </w:p>
    <w:tbl>
      <w:tblPr>
        <w:tblStyle w:val="Tabellenraster"/>
        <w:tblW w:w="9214" w:type="dxa"/>
        <w:tblInd w:w="-5" w:type="dxa"/>
        <w:tblLook w:val="04A0" w:firstRow="1" w:lastRow="0" w:firstColumn="1" w:lastColumn="0" w:noHBand="0" w:noVBand="1"/>
      </w:tblPr>
      <w:tblGrid>
        <w:gridCol w:w="1650"/>
        <w:gridCol w:w="7564"/>
      </w:tblGrid>
      <w:tr w:rsidR="00A66B31" w:rsidRPr="008E11C5" w14:paraId="53A9C7F1" w14:textId="77777777" w:rsidTr="008B2C33">
        <w:tc>
          <w:tcPr>
            <w:tcW w:w="1650" w:type="dxa"/>
          </w:tcPr>
          <w:p w14:paraId="57CAF84A" w14:textId="77777777" w:rsidR="00A66B31" w:rsidRPr="008E11C5" w:rsidRDefault="00A66B31" w:rsidP="008B2C33">
            <w:pPr>
              <w:jc w:val="both"/>
              <w:rPr>
                <w:rFonts w:ascii="Arial" w:hAnsi="Arial" w:cs="Arial"/>
                <w:b/>
                <w:szCs w:val="22"/>
              </w:rPr>
            </w:pPr>
            <w:r w:rsidRPr="008E11C5">
              <w:rPr>
                <w:rFonts w:ascii="Arial" w:hAnsi="Arial" w:cs="Arial"/>
                <w:b/>
                <w:szCs w:val="22"/>
              </w:rPr>
              <w:t>Funkt</w:t>
            </w:r>
            <w:r>
              <w:rPr>
                <w:rFonts w:ascii="Arial" w:hAnsi="Arial" w:cs="Arial"/>
                <w:b/>
                <w:szCs w:val="22"/>
              </w:rPr>
              <w:t>i</w:t>
            </w:r>
            <w:r w:rsidRPr="008E11C5">
              <w:rPr>
                <w:rFonts w:ascii="Arial" w:hAnsi="Arial" w:cs="Arial"/>
                <w:b/>
                <w:szCs w:val="22"/>
              </w:rPr>
              <w:t>onsstufe</w:t>
            </w:r>
          </w:p>
        </w:tc>
        <w:tc>
          <w:tcPr>
            <w:tcW w:w="7564" w:type="dxa"/>
          </w:tcPr>
          <w:p w14:paraId="20A4219A" w14:textId="77777777" w:rsidR="00A66B31" w:rsidRPr="008E11C5" w:rsidRDefault="00A66B31" w:rsidP="008B2C33">
            <w:pPr>
              <w:jc w:val="both"/>
              <w:rPr>
                <w:rFonts w:ascii="Arial" w:hAnsi="Arial" w:cs="Arial"/>
                <w:b/>
                <w:szCs w:val="22"/>
              </w:rPr>
            </w:pPr>
            <w:r w:rsidRPr="008E11C5">
              <w:rPr>
                <w:rFonts w:ascii="Arial" w:hAnsi="Arial" w:cs="Arial"/>
                <w:b/>
                <w:szCs w:val="22"/>
              </w:rPr>
              <w:t xml:space="preserve">Beschreibung der Tätigkeit </w:t>
            </w:r>
          </w:p>
        </w:tc>
      </w:tr>
      <w:tr w:rsidR="00A66B31" w:rsidRPr="008E11C5" w14:paraId="29F92B3E" w14:textId="77777777" w:rsidTr="00A66B31">
        <w:trPr>
          <w:trHeight w:val="1040"/>
        </w:trPr>
        <w:tc>
          <w:tcPr>
            <w:tcW w:w="1650" w:type="dxa"/>
          </w:tcPr>
          <w:p w14:paraId="33684ED4" w14:textId="77777777" w:rsidR="00A66B31" w:rsidRPr="008E11C5" w:rsidRDefault="00A66B31" w:rsidP="008B2C33">
            <w:pPr>
              <w:jc w:val="both"/>
              <w:rPr>
                <w:rFonts w:ascii="Arial" w:hAnsi="Arial" w:cs="Arial"/>
                <w:szCs w:val="22"/>
              </w:rPr>
            </w:pPr>
            <w:r w:rsidRPr="008E11C5">
              <w:rPr>
                <w:rFonts w:ascii="Arial" w:hAnsi="Arial" w:cs="Arial"/>
                <w:szCs w:val="22"/>
              </w:rPr>
              <w:t>1 a</w:t>
            </w:r>
          </w:p>
        </w:tc>
        <w:tc>
          <w:tcPr>
            <w:tcW w:w="7564" w:type="dxa"/>
          </w:tcPr>
          <w:p w14:paraId="43A4F288" w14:textId="77777777" w:rsidR="00A66B31" w:rsidRPr="008E11C5" w:rsidRDefault="00A66B31" w:rsidP="008B2C33">
            <w:pPr>
              <w:spacing w:after="200" w:line="276" w:lineRule="auto"/>
              <w:contextualSpacing/>
              <w:jc w:val="both"/>
              <w:rPr>
                <w:rFonts w:ascii="Arial" w:hAnsi="Arial" w:cs="Arial"/>
                <w:szCs w:val="22"/>
                <w:lang w:eastAsia="en-US"/>
              </w:rPr>
            </w:pPr>
            <w:r w:rsidRPr="008E11C5">
              <w:rPr>
                <w:rFonts w:ascii="Arial" w:hAnsi="Arial" w:cs="Arial"/>
                <w:szCs w:val="22"/>
                <w:lang w:eastAsia="en-US"/>
              </w:rPr>
              <w:t>P</w:t>
            </w:r>
            <w:r>
              <w:rPr>
                <w:rFonts w:ascii="Arial" w:hAnsi="Arial" w:cs="Arial"/>
                <w:szCs w:val="22"/>
                <w:lang w:eastAsia="en-US"/>
              </w:rPr>
              <w:t>rojektmitarbeit</w:t>
            </w:r>
            <w:r w:rsidRPr="008E11C5">
              <w:rPr>
                <w:rFonts w:ascii="Arial" w:hAnsi="Arial" w:cs="Arial"/>
                <w:szCs w:val="22"/>
                <w:lang w:eastAsia="en-US"/>
              </w:rPr>
              <w:t xml:space="preserve"> mit Hilfstätigkeiten, die keine qualifizierte Berufsausbildung voraussetzen und keinen oder nur einen geringen Entscheidungsspielraum gewährt bekommen und deren Stellen besetzt werden durch Bundesfreiwilligendienstleistende, </w:t>
            </w:r>
            <w:proofErr w:type="spellStart"/>
            <w:r w:rsidRPr="008E11C5">
              <w:rPr>
                <w:rFonts w:ascii="Arial" w:hAnsi="Arial" w:cs="Arial"/>
                <w:szCs w:val="22"/>
                <w:lang w:eastAsia="en-US"/>
              </w:rPr>
              <w:t>FSJler</w:t>
            </w:r>
            <w:proofErr w:type="spellEnd"/>
            <w:r w:rsidRPr="008E11C5">
              <w:rPr>
                <w:rFonts w:ascii="Arial" w:hAnsi="Arial" w:cs="Arial"/>
                <w:szCs w:val="22"/>
                <w:lang w:eastAsia="en-US"/>
              </w:rPr>
              <w:t>/</w:t>
            </w:r>
            <w:proofErr w:type="spellStart"/>
            <w:r w:rsidRPr="008E11C5">
              <w:rPr>
                <w:rFonts w:ascii="Arial" w:hAnsi="Arial" w:cs="Arial"/>
                <w:szCs w:val="22"/>
                <w:lang w:eastAsia="en-US"/>
              </w:rPr>
              <w:t>FÖJler</w:t>
            </w:r>
            <w:proofErr w:type="spellEnd"/>
            <w:r w:rsidRPr="008E11C5">
              <w:rPr>
                <w:rFonts w:ascii="Arial" w:hAnsi="Arial" w:cs="Arial"/>
                <w:szCs w:val="22"/>
                <w:lang w:eastAsia="en-US"/>
              </w:rPr>
              <w:t xml:space="preserve"> etc. </w:t>
            </w:r>
          </w:p>
        </w:tc>
      </w:tr>
      <w:tr w:rsidR="00A66B31" w:rsidRPr="008E11C5" w14:paraId="7BEA3E0C" w14:textId="77777777" w:rsidTr="00A66B31">
        <w:trPr>
          <w:trHeight w:val="819"/>
        </w:trPr>
        <w:tc>
          <w:tcPr>
            <w:tcW w:w="1650" w:type="dxa"/>
          </w:tcPr>
          <w:p w14:paraId="56FCA936" w14:textId="77777777" w:rsidR="00A66B31" w:rsidRPr="008E11C5" w:rsidRDefault="00A66B31" w:rsidP="008B2C33">
            <w:pPr>
              <w:jc w:val="both"/>
              <w:rPr>
                <w:rFonts w:ascii="Arial" w:hAnsi="Arial" w:cs="Arial"/>
                <w:szCs w:val="22"/>
              </w:rPr>
            </w:pPr>
            <w:r w:rsidRPr="008E11C5">
              <w:rPr>
                <w:rFonts w:ascii="Arial" w:hAnsi="Arial" w:cs="Arial"/>
                <w:szCs w:val="22"/>
              </w:rPr>
              <w:t>1 b</w:t>
            </w:r>
          </w:p>
        </w:tc>
        <w:tc>
          <w:tcPr>
            <w:tcW w:w="7564" w:type="dxa"/>
          </w:tcPr>
          <w:p w14:paraId="35F46598" w14:textId="77777777" w:rsidR="00A66B31" w:rsidRPr="008E11C5" w:rsidRDefault="00A66B31" w:rsidP="008B2C33">
            <w:pPr>
              <w:spacing w:after="200" w:line="276" w:lineRule="auto"/>
              <w:contextualSpacing/>
              <w:jc w:val="both"/>
              <w:rPr>
                <w:rFonts w:ascii="Arial" w:hAnsi="Arial" w:cs="Arial"/>
                <w:szCs w:val="22"/>
                <w:lang w:eastAsia="en-US"/>
              </w:rPr>
            </w:pPr>
            <w:r w:rsidRPr="008E11C5">
              <w:rPr>
                <w:rFonts w:ascii="Arial" w:hAnsi="Arial" w:cs="Arial"/>
                <w:szCs w:val="22"/>
                <w:lang w:eastAsia="en-US"/>
              </w:rPr>
              <w:t>P</w:t>
            </w:r>
            <w:r>
              <w:rPr>
                <w:rFonts w:ascii="Arial" w:hAnsi="Arial" w:cs="Arial"/>
                <w:szCs w:val="22"/>
                <w:lang w:eastAsia="en-US"/>
              </w:rPr>
              <w:t>rojektmitarbeit</w:t>
            </w:r>
            <w:r w:rsidRPr="008E11C5">
              <w:rPr>
                <w:rFonts w:ascii="Arial" w:hAnsi="Arial" w:cs="Arial"/>
                <w:szCs w:val="22"/>
                <w:lang w:eastAsia="en-US"/>
              </w:rPr>
              <w:t xml:space="preserve"> mit Hilfstätigkeiten, die keine qualifizierte Berufsausbildung voraussetzen und keinen oder nur einen geringen Entscheidungsspielraum gewährt bekommen und deren Stellen besetzt werden durch Auszubildende.</w:t>
            </w:r>
          </w:p>
        </w:tc>
      </w:tr>
      <w:tr w:rsidR="00A66B31" w:rsidRPr="008E11C5" w14:paraId="3F637913" w14:textId="77777777" w:rsidTr="00A66B31">
        <w:trPr>
          <w:trHeight w:val="763"/>
        </w:trPr>
        <w:tc>
          <w:tcPr>
            <w:tcW w:w="1650" w:type="dxa"/>
          </w:tcPr>
          <w:p w14:paraId="645B5DA6" w14:textId="77777777" w:rsidR="00A66B31" w:rsidRDefault="00A66B31" w:rsidP="008B2C33">
            <w:pPr>
              <w:jc w:val="both"/>
              <w:rPr>
                <w:rFonts w:ascii="Arial" w:hAnsi="Arial" w:cs="Arial"/>
                <w:szCs w:val="22"/>
              </w:rPr>
            </w:pPr>
            <w:r w:rsidRPr="008E11C5">
              <w:rPr>
                <w:rFonts w:ascii="Arial" w:hAnsi="Arial" w:cs="Arial"/>
                <w:szCs w:val="22"/>
              </w:rPr>
              <w:t>2</w:t>
            </w:r>
          </w:p>
          <w:p w14:paraId="20249CEC" w14:textId="77777777" w:rsidR="00A66B31" w:rsidRDefault="00A66B31" w:rsidP="00A66B31">
            <w:pPr>
              <w:rPr>
                <w:rFonts w:ascii="Arial" w:hAnsi="Arial" w:cs="Arial"/>
                <w:szCs w:val="22"/>
              </w:rPr>
            </w:pPr>
          </w:p>
          <w:p w14:paraId="37A4C7A0" w14:textId="77777777" w:rsidR="00A66B31" w:rsidRPr="00A66B31" w:rsidRDefault="00A66B31" w:rsidP="00A66B31">
            <w:pPr>
              <w:rPr>
                <w:rFonts w:ascii="Arial" w:hAnsi="Arial" w:cs="Arial"/>
                <w:szCs w:val="22"/>
              </w:rPr>
            </w:pPr>
          </w:p>
        </w:tc>
        <w:tc>
          <w:tcPr>
            <w:tcW w:w="7564" w:type="dxa"/>
          </w:tcPr>
          <w:p w14:paraId="478B2050" w14:textId="77777777" w:rsidR="00A66B31" w:rsidRPr="008E11C5" w:rsidRDefault="00A66B31" w:rsidP="008B2C33">
            <w:pPr>
              <w:spacing w:after="200" w:line="276" w:lineRule="auto"/>
              <w:rPr>
                <w:rFonts w:ascii="Arial" w:hAnsi="Arial" w:cs="Arial"/>
                <w:szCs w:val="22"/>
                <w:lang w:eastAsia="en-US"/>
              </w:rPr>
            </w:pPr>
            <w:r w:rsidRPr="00710BBB">
              <w:rPr>
                <w:rFonts w:ascii="Arial" w:hAnsi="Arial" w:cs="Arial"/>
                <w:szCs w:val="22"/>
                <w:lang w:eastAsia="en-US"/>
              </w:rPr>
              <w:t>P</w:t>
            </w:r>
            <w:r>
              <w:rPr>
                <w:rFonts w:ascii="Arial" w:hAnsi="Arial" w:cs="Arial"/>
                <w:szCs w:val="22"/>
                <w:lang w:eastAsia="en-US"/>
              </w:rPr>
              <w:t>rojektmitarbeit</w:t>
            </w:r>
            <w:r w:rsidRPr="00710BBB">
              <w:rPr>
                <w:rFonts w:ascii="Arial" w:hAnsi="Arial" w:cs="Arial"/>
                <w:szCs w:val="22"/>
                <w:lang w:eastAsia="en-US"/>
              </w:rPr>
              <w:t xml:space="preserve"> mit Hilfstätigkeiten, die i.d.R. keine qualifizierte Berufsausbildung voraussetzen und keinen oder nur einen geringen Entscheidungsspielraum gewährt bekommen.</w:t>
            </w:r>
          </w:p>
        </w:tc>
      </w:tr>
      <w:tr w:rsidR="00A66B31" w:rsidRPr="008E11C5" w14:paraId="7C0D1BFD" w14:textId="77777777" w:rsidTr="00A66B31">
        <w:trPr>
          <w:trHeight w:val="891"/>
        </w:trPr>
        <w:tc>
          <w:tcPr>
            <w:tcW w:w="1650" w:type="dxa"/>
          </w:tcPr>
          <w:p w14:paraId="6628A9D6" w14:textId="77777777" w:rsidR="00A66B31" w:rsidRPr="008E11C5" w:rsidRDefault="00A66B31" w:rsidP="008B2C33">
            <w:pPr>
              <w:jc w:val="both"/>
              <w:rPr>
                <w:rFonts w:ascii="Arial" w:hAnsi="Arial" w:cs="Arial"/>
                <w:szCs w:val="22"/>
              </w:rPr>
            </w:pPr>
            <w:r w:rsidRPr="008E11C5">
              <w:rPr>
                <w:rFonts w:ascii="Arial" w:hAnsi="Arial" w:cs="Arial"/>
                <w:szCs w:val="22"/>
              </w:rPr>
              <w:t>3</w:t>
            </w:r>
          </w:p>
        </w:tc>
        <w:tc>
          <w:tcPr>
            <w:tcW w:w="7564" w:type="dxa"/>
          </w:tcPr>
          <w:p w14:paraId="41087213" w14:textId="77777777" w:rsidR="00A66B31" w:rsidRPr="008E11C5" w:rsidRDefault="00A66B31" w:rsidP="008B2C33">
            <w:pPr>
              <w:spacing w:after="200" w:line="276" w:lineRule="auto"/>
              <w:contextualSpacing/>
              <w:jc w:val="both"/>
              <w:rPr>
                <w:rFonts w:ascii="Arial" w:hAnsi="Arial" w:cs="Arial"/>
                <w:szCs w:val="22"/>
                <w:lang w:eastAsia="en-US"/>
              </w:rPr>
            </w:pPr>
            <w:r w:rsidRPr="008E11C5">
              <w:rPr>
                <w:rFonts w:ascii="Arial" w:hAnsi="Arial" w:cs="Arial"/>
                <w:szCs w:val="22"/>
                <w:lang w:eastAsia="en-US"/>
              </w:rPr>
              <w:t xml:space="preserve">Projektmitarbeit mit einfachen oder unterstützenden Anforderungen, die i.d.R. eine qualifizierte Berufsausbildung voraussetzen aber ohne oder mit geringem Entscheidungsspielraum. </w:t>
            </w:r>
          </w:p>
        </w:tc>
      </w:tr>
      <w:tr w:rsidR="00A66B31" w:rsidRPr="008E11C5" w14:paraId="78821948" w14:textId="77777777" w:rsidTr="00A66B31">
        <w:trPr>
          <w:trHeight w:val="563"/>
        </w:trPr>
        <w:tc>
          <w:tcPr>
            <w:tcW w:w="1650" w:type="dxa"/>
          </w:tcPr>
          <w:p w14:paraId="1DF7B7FE" w14:textId="77777777" w:rsidR="00A66B31" w:rsidRPr="008E11C5" w:rsidRDefault="00A66B31" w:rsidP="008B2C33">
            <w:pPr>
              <w:jc w:val="both"/>
              <w:rPr>
                <w:rFonts w:ascii="Arial" w:hAnsi="Arial" w:cs="Arial"/>
                <w:szCs w:val="22"/>
              </w:rPr>
            </w:pPr>
            <w:r w:rsidRPr="008E11C5">
              <w:rPr>
                <w:rFonts w:ascii="Arial" w:hAnsi="Arial" w:cs="Arial"/>
                <w:szCs w:val="22"/>
              </w:rPr>
              <w:t>4</w:t>
            </w:r>
          </w:p>
        </w:tc>
        <w:tc>
          <w:tcPr>
            <w:tcW w:w="7564" w:type="dxa"/>
          </w:tcPr>
          <w:p w14:paraId="435A4126" w14:textId="77777777" w:rsidR="00A66B31" w:rsidRPr="008E11C5" w:rsidRDefault="00A66B31" w:rsidP="008B2C33">
            <w:pPr>
              <w:spacing w:after="200" w:line="276" w:lineRule="auto"/>
              <w:contextualSpacing/>
              <w:jc w:val="both"/>
              <w:rPr>
                <w:rFonts w:ascii="Arial" w:hAnsi="Arial" w:cs="Arial"/>
                <w:szCs w:val="22"/>
              </w:rPr>
            </w:pPr>
            <w:r w:rsidRPr="008E11C5">
              <w:rPr>
                <w:rFonts w:ascii="Arial" w:hAnsi="Arial" w:cs="Arial"/>
                <w:szCs w:val="22"/>
                <w:lang w:eastAsia="en-US"/>
              </w:rPr>
              <w:t>P</w:t>
            </w:r>
            <w:r>
              <w:rPr>
                <w:rFonts w:ascii="Arial" w:hAnsi="Arial" w:cs="Arial"/>
                <w:szCs w:val="22"/>
                <w:lang w:eastAsia="en-US"/>
              </w:rPr>
              <w:t>rojektmitarbeit</w:t>
            </w:r>
            <w:r w:rsidRPr="008E11C5">
              <w:rPr>
                <w:rFonts w:ascii="Arial" w:hAnsi="Arial" w:cs="Arial"/>
                <w:szCs w:val="22"/>
                <w:lang w:eastAsia="en-US"/>
              </w:rPr>
              <w:t xml:space="preserve"> mit verantwortungsvollen Aufgaben, die i.d.R. eine qualifizierte Berufsausbildung oder höher voraussetzen</w:t>
            </w:r>
          </w:p>
        </w:tc>
      </w:tr>
      <w:tr w:rsidR="00A66B31" w:rsidRPr="008E11C5" w14:paraId="12437E38" w14:textId="77777777" w:rsidTr="00A66B31">
        <w:trPr>
          <w:trHeight w:val="1565"/>
        </w:trPr>
        <w:tc>
          <w:tcPr>
            <w:tcW w:w="1650" w:type="dxa"/>
          </w:tcPr>
          <w:p w14:paraId="3210CE20" w14:textId="77777777" w:rsidR="00A66B31" w:rsidRPr="008E11C5" w:rsidRDefault="00A66B31" w:rsidP="008B2C33">
            <w:pPr>
              <w:jc w:val="both"/>
              <w:rPr>
                <w:rFonts w:ascii="Arial" w:hAnsi="Arial" w:cs="Arial"/>
                <w:szCs w:val="22"/>
              </w:rPr>
            </w:pPr>
            <w:r w:rsidRPr="008E11C5">
              <w:rPr>
                <w:rFonts w:ascii="Arial" w:hAnsi="Arial" w:cs="Arial"/>
                <w:szCs w:val="22"/>
              </w:rPr>
              <w:t>5</w:t>
            </w:r>
          </w:p>
        </w:tc>
        <w:tc>
          <w:tcPr>
            <w:tcW w:w="7564" w:type="dxa"/>
          </w:tcPr>
          <w:p w14:paraId="49C07BEA" w14:textId="77777777" w:rsidR="00A66B31" w:rsidRPr="008E11C5" w:rsidRDefault="00A66B31" w:rsidP="008B2C33">
            <w:pPr>
              <w:spacing w:after="200" w:line="276" w:lineRule="auto"/>
              <w:contextualSpacing/>
              <w:jc w:val="both"/>
              <w:rPr>
                <w:rFonts w:ascii="Arial" w:hAnsi="Arial" w:cs="Arial"/>
                <w:szCs w:val="22"/>
                <w:lang w:eastAsia="en-US"/>
              </w:rPr>
            </w:pPr>
            <w:r w:rsidRPr="008E11C5">
              <w:rPr>
                <w:rFonts w:ascii="Arial" w:hAnsi="Arial" w:cs="Arial"/>
                <w:szCs w:val="22"/>
                <w:lang w:eastAsia="en-US"/>
              </w:rPr>
              <w:t>Projektmitarbeit mit gehobenen Anforderungen für die i.d.R. ein Studium erforderlich ist, aber ohne die besonderen Anforderungen der Stufe 6.</w:t>
            </w:r>
          </w:p>
          <w:p w14:paraId="785E9520" w14:textId="77777777" w:rsidR="00A66B31" w:rsidRPr="008E11C5" w:rsidRDefault="00A66B31" w:rsidP="008B2C33">
            <w:pPr>
              <w:spacing w:after="200" w:line="276" w:lineRule="auto"/>
              <w:contextualSpacing/>
              <w:jc w:val="both"/>
              <w:rPr>
                <w:rFonts w:ascii="Arial" w:hAnsi="Arial" w:cs="Arial"/>
                <w:szCs w:val="22"/>
                <w:lang w:eastAsia="en-US"/>
              </w:rPr>
            </w:pPr>
          </w:p>
          <w:p w14:paraId="5F8BD3A6" w14:textId="77777777" w:rsidR="00A66B31" w:rsidRPr="008E11C5" w:rsidRDefault="00A66B31" w:rsidP="008B2C33">
            <w:pPr>
              <w:spacing w:after="200" w:line="276" w:lineRule="auto"/>
              <w:contextualSpacing/>
              <w:jc w:val="both"/>
              <w:rPr>
                <w:rFonts w:ascii="Arial" w:hAnsi="Arial" w:cs="Arial"/>
                <w:szCs w:val="22"/>
                <w:lang w:eastAsia="en-US"/>
              </w:rPr>
            </w:pPr>
            <w:r w:rsidRPr="008E11C5">
              <w:rPr>
                <w:rFonts w:ascii="Arial" w:hAnsi="Arial" w:cs="Arial"/>
                <w:szCs w:val="22"/>
                <w:lang w:eastAsia="en-US"/>
              </w:rPr>
              <w:t xml:space="preserve">Projektleitung mit inhaltlicher und finanzieller Projektverantwortung und geringer fachlicher Weisungsbefugnis und Ansprechperson für </w:t>
            </w:r>
            <w:r>
              <w:rPr>
                <w:rFonts w:ascii="Arial" w:hAnsi="Arial" w:cs="Arial"/>
                <w:szCs w:val="22"/>
                <w:lang w:eastAsia="en-US"/>
              </w:rPr>
              <w:t>NBank</w:t>
            </w:r>
            <w:r w:rsidRPr="008E11C5">
              <w:rPr>
                <w:rFonts w:ascii="Arial" w:hAnsi="Arial" w:cs="Arial"/>
                <w:szCs w:val="22"/>
                <w:lang w:eastAsia="en-US"/>
              </w:rPr>
              <w:t>, Kooperationspartner, Institutionen und Öffentlichkeit in Projekten</w:t>
            </w:r>
          </w:p>
        </w:tc>
      </w:tr>
      <w:tr w:rsidR="00A66B31" w:rsidRPr="008E11C5" w14:paraId="67B3A69A" w14:textId="77777777" w:rsidTr="008B2C33">
        <w:tc>
          <w:tcPr>
            <w:tcW w:w="1650" w:type="dxa"/>
          </w:tcPr>
          <w:p w14:paraId="424DE7EF" w14:textId="77777777" w:rsidR="00A66B31" w:rsidRPr="008E11C5" w:rsidRDefault="00A66B31" w:rsidP="008B2C33">
            <w:pPr>
              <w:jc w:val="both"/>
              <w:rPr>
                <w:rFonts w:ascii="Arial" w:hAnsi="Arial" w:cs="Arial"/>
                <w:szCs w:val="22"/>
              </w:rPr>
            </w:pPr>
            <w:r w:rsidRPr="008E11C5">
              <w:rPr>
                <w:rFonts w:ascii="Arial" w:hAnsi="Arial" w:cs="Arial"/>
                <w:szCs w:val="22"/>
              </w:rPr>
              <w:t>6</w:t>
            </w:r>
          </w:p>
        </w:tc>
        <w:tc>
          <w:tcPr>
            <w:tcW w:w="7564" w:type="dxa"/>
          </w:tcPr>
          <w:p w14:paraId="41C7A181" w14:textId="77777777" w:rsidR="00A66B31" w:rsidRPr="008E11C5" w:rsidRDefault="00A66B31" w:rsidP="008B2C33">
            <w:pPr>
              <w:spacing w:after="200" w:line="276" w:lineRule="auto"/>
              <w:contextualSpacing/>
              <w:jc w:val="both"/>
              <w:rPr>
                <w:rFonts w:ascii="Arial" w:hAnsi="Arial" w:cs="Arial"/>
                <w:szCs w:val="22"/>
                <w:lang w:eastAsia="en-US"/>
              </w:rPr>
            </w:pPr>
            <w:r w:rsidRPr="008E11C5">
              <w:rPr>
                <w:rFonts w:ascii="Arial" w:hAnsi="Arial" w:cs="Arial"/>
                <w:szCs w:val="22"/>
                <w:lang w:eastAsia="en-US"/>
              </w:rPr>
              <w:t xml:space="preserve">Projektleitung mit inhaltlicher und finanzieller Projektverantwortung und umfassende fachlicher Weisungsbefugnis und Ansprechperson für </w:t>
            </w:r>
            <w:r>
              <w:rPr>
                <w:rFonts w:ascii="Arial" w:hAnsi="Arial" w:cs="Arial"/>
                <w:szCs w:val="22"/>
                <w:lang w:eastAsia="en-US"/>
              </w:rPr>
              <w:t>NBank</w:t>
            </w:r>
            <w:r w:rsidRPr="008E11C5">
              <w:rPr>
                <w:rFonts w:ascii="Arial" w:hAnsi="Arial" w:cs="Arial"/>
                <w:szCs w:val="22"/>
                <w:lang w:eastAsia="en-US"/>
              </w:rPr>
              <w:t>, Kooperationspartner, Institutionen und Öffentlichkeit in Projekten, die nicht die Anforderungen an die besondere Komplexität aus Stufe 7 erfüllen</w:t>
            </w:r>
          </w:p>
          <w:p w14:paraId="228B9800" w14:textId="77777777" w:rsidR="00A66B31" w:rsidRPr="008E11C5" w:rsidRDefault="00A66B31" w:rsidP="008B2C33">
            <w:pPr>
              <w:spacing w:after="200" w:line="276" w:lineRule="auto"/>
              <w:contextualSpacing/>
              <w:jc w:val="both"/>
              <w:rPr>
                <w:rFonts w:ascii="Arial" w:hAnsi="Arial" w:cs="Arial"/>
                <w:szCs w:val="22"/>
                <w:lang w:eastAsia="en-US"/>
              </w:rPr>
            </w:pPr>
          </w:p>
          <w:p w14:paraId="6052EC13" w14:textId="77777777" w:rsidR="00A66B31" w:rsidRPr="008E11C5" w:rsidRDefault="00A66B31" w:rsidP="008B2C33">
            <w:pPr>
              <w:spacing w:after="200" w:line="276" w:lineRule="auto"/>
              <w:contextualSpacing/>
              <w:jc w:val="both"/>
              <w:rPr>
                <w:rFonts w:ascii="Arial" w:hAnsi="Arial" w:cs="Arial"/>
                <w:szCs w:val="22"/>
                <w:lang w:eastAsia="en-US"/>
              </w:rPr>
            </w:pPr>
            <w:r w:rsidRPr="008E11C5">
              <w:rPr>
                <w:rFonts w:ascii="Arial" w:hAnsi="Arial" w:cs="Arial"/>
                <w:szCs w:val="22"/>
                <w:lang w:eastAsia="en-US"/>
              </w:rPr>
              <w:t>Wissenschaftliches Personal in Projekten, die nicht die Anforderungen an die besondere Komplexität aus Stufe 7 erfüllen</w:t>
            </w:r>
          </w:p>
          <w:p w14:paraId="683777F5" w14:textId="77777777" w:rsidR="00A66B31" w:rsidRPr="008E11C5" w:rsidRDefault="00A66B31" w:rsidP="008B2C33">
            <w:pPr>
              <w:spacing w:after="200" w:line="276" w:lineRule="auto"/>
              <w:contextualSpacing/>
              <w:jc w:val="both"/>
              <w:rPr>
                <w:rFonts w:ascii="Arial" w:hAnsi="Arial" w:cs="Arial"/>
                <w:szCs w:val="22"/>
                <w:lang w:eastAsia="en-US"/>
              </w:rPr>
            </w:pPr>
          </w:p>
          <w:p w14:paraId="3301D0CA" w14:textId="77777777" w:rsidR="00A66B31" w:rsidRPr="008E11C5" w:rsidRDefault="00A66B31" w:rsidP="008B2C33">
            <w:pPr>
              <w:spacing w:after="200" w:line="276" w:lineRule="auto"/>
              <w:contextualSpacing/>
              <w:jc w:val="both"/>
              <w:rPr>
                <w:rFonts w:ascii="Arial" w:hAnsi="Arial" w:cs="Arial"/>
                <w:szCs w:val="22"/>
                <w:lang w:eastAsia="en-US"/>
              </w:rPr>
            </w:pPr>
            <w:r w:rsidRPr="008E11C5">
              <w:rPr>
                <w:rFonts w:ascii="Arial" w:hAnsi="Arial" w:cs="Arial"/>
                <w:szCs w:val="22"/>
                <w:lang w:eastAsia="en-US"/>
              </w:rPr>
              <w:t>Projektmitarbeit mit besonderen Anforderungen für die i.d.R. ein Studium erforderlich ist. Die besonderen Anforderungen ergeben sich z.B. aus der Zielgruppe, den Inhalten oder den strukturellen Besonderheiten des Projektes.</w:t>
            </w:r>
          </w:p>
        </w:tc>
      </w:tr>
      <w:tr w:rsidR="00A66B31" w:rsidRPr="008E11C5" w14:paraId="64BA989B" w14:textId="77777777" w:rsidTr="008B2C33">
        <w:tc>
          <w:tcPr>
            <w:tcW w:w="1650" w:type="dxa"/>
          </w:tcPr>
          <w:p w14:paraId="720B5E40" w14:textId="77777777" w:rsidR="00A66B31" w:rsidRPr="008E11C5" w:rsidDel="00E65782" w:rsidRDefault="00A66B31" w:rsidP="008B2C33">
            <w:pPr>
              <w:jc w:val="both"/>
              <w:rPr>
                <w:rFonts w:ascii="Arial" w:hAnsi="Arial" w:cs="Arial"/>
                <w:szCs w:val="22"/>
              </w:rPr>
            </w:pPr>
            <w:r w:rsidRPr="008E11C5">
              <w:rPr>
                <w:rFonts w:ascii="Arial" w:hAnsi="Arial" w:cs="Arial"/>
                <w:szCs w:val="22"/>
              </w:rPr>
              <w:t>7</w:t>
            </w:r>
          </w:p>
        </w:tc>
        <w:tc>
          <w:tcPr>
            <w:tcW w:w="7564" w:type="dxa"/>
          </w:tcPr>
          <w:p w14:paraId="392BA434" w14:textId="77777777" w:rsidR="00A66B31" w:rsidRPr="008E11C5" w:rsidRDefault="00A66B31" w:rsidP="008B2C33">
            <w:pPr>
              <w:spacing w:after="200" w:line="276" w:lineRule="auto"/>
              <w:jc w:val="both"/>
              <w:rPr>
                <w:rFonts w:ascii="Arial" w:hAnsi="Arial" w:cs="Arial"/>
                <w:szCs w:val="22"/>
              </w:rPr>
            </w:pPr>
            <w:r w:rsidRPr="008E11C5">
              <w:rPr>
                <w:rFonts w:ascii="Arial" w:hAnsi="Arial" w:cs="Arial"/>
                <w:szCs w:val="22"/>
              </w:rPr>
              <w:t xml:space="preserve">Projektleitung von besonders komplexen Projekten mit inhaltlicher und finanzieller Projektverantwortung und mindestens fachlicher Weisungsbefugnis, Ansprechperson für die </w:t>
            </w:r>
            <w:r>
              <w:rPr>
                <w:rFonts w:ascii="Arial" w:hAnsi="Arial" w:cs="Arial"/>
                <w:szCs w:val="22"/>
              </w:rPr>
              <w:t>NBank</w:t>
            </w:r>
            <w:r w:rsidRPr="008E11C5">
              <w:rPr>
                <w:rFonts w:ascii="Arial" w:hAnsi="Arial" w:cs="Arial"/>
                <w:szCs w:val="22"/>
              </w:rPr>
              <w:t>, Kooperationspartner, Institutionen und Öffentlichkeit.</w:t>
            </w:r>
          </w:p>
          <w:p w14:paraId="5A47288B" w14:textId="77777777" w:rsidR="00A66B31" w:rsidRPr="008E11C5" w:rsidRDefault="00A66B31" w:rsidP="008B2C33">
            <w:pPr>
              <w:numPr>
                <w:ilvl w:val="0"/>
                <w:numId w:val="4"/>
              </w:numPr>
              <w:spacing w:after="200" w:line="276" w:lineRule="auto"/>
              <w:contextualSpacing/>
              <w:jc w:val="both"/>
              <w:rPr>
                <w:rFonts w:ascii="Arial" w:hAnsi="Arial" w:cs="Arial"/>
                <w:szCs w:val="22"/>
              </w:rPr>
            </w:pPr>
            <w:r w:rsidRPr="008E11C5">
              <w:rPr>
                <w:rFonts w:ascii="Arial" w:hAnsi="Arial" w:cs="Arial"/>
                <w:szCs w:val="22"/>
              </w:rPr>
              <w:t>Besonders Komplexe Projekte sind</w:t>
            </w:r>
          </w:p>
          <w:p w14:paraId="76EB4B89" w14:textId="77777777" w:rsidR="00A66B31" w:rsidRPr="008E11C5" w:rsidRDefault="00A66B31" w:rsidP="008B2C33">
            <w:pPr>
              <w:numPr>
                <w:ilvl w:val="1"/>
                <w:numId w:val="4"/>
              </w:numPr>
              <w:spacing w:after="200" w:line="276" w:lineRule="auto"/>
              <w:contextualSpacing/>
              <w:jc w:val="both"/>
              <w:rPr>
                <w:rFonts w:ascii="Arial" w:hAnsi="Arial" w:cs="Arial"/>
                <w:szCs w:val="22"/>
              </w:rPr>
            </w:pPr>
            <w:r w:rsidRPr="008E11C5">
              <w:rPr>
                <w:rFonts w:ascii="Arial" w:hAnsi="Arial" w:cs="Arial"/>
                <w:szCs w:val="22"/>
              </w:rPr>
              <w:t>Projekte von strategischer Bedeutung oder</w:t>
            </w:r>
          </w:p>
          <w:p w14:paraId="3BBDCE51" w14:textId="77777777" w:rsidR="00A66B31" w:rsidRPr="008E11C5" w:rsidRDefault="00A66B31" w:rsidP="008B2C33">
            <w:pPr>
              <w:numPr>
                <w:ilvl w:val="1"/>
                <w:numId w:val="4"/>
              </w:numPr>
              <w:spacing w:after="200" w:line="276" w:lineRule="auto"/>
              <w:contextualSpacing/>
              <w:jc w:val="both"/>
              <w:rPr>
                <w:rFonts w:ascii="Arial" w:hAnsi="Arial" w:cs="Arial"/>
                <w:szCs w:val="22"/>
              </w:rPr>
            </w:pPr>
            <w:r w:rsidRPr="008E11C5">
              <w:rPr>
                <w:rFonts w:ascii="Arial" w:hAnsi="Arial" w:cs="Arial"/>
                <w:szCs w:val="22"/>
              </w:rPr>
              <w:t>Projekte mit transnationalem Bezug oder</w:t>
            </w:r>
          </w:p>
          <w:p w14:paraId="7BA0C387" w14:textId="77777777" w:rsidR="00A66B31" w:rsidRPr="008E11C5" w:rsidRDefault="00A66B31" w:rsidP="008B2C33">
            <w:pPr>
              <w:numPr>
                <w:ilvl w:val="1"/>
                <w:numId w:val="4"/>
              </w:numPr>
              <w:spacing w:after="200" w:line="276" w:lineRule="auto"/>
              <w:contextualSpacing/>
              <w:jc w:val="both"/>
              <w:rPr>
                <w:rFonts w:ascii="Arial" w:hAnsi="Arial" w:cs="Arial"/>
                <w:szCs w:val="22"/>
              </w:rPr>
            </w:pPr>
            <w:r w:rsidRPr="008E11C5">
              <w:rPr>
                <w:rFonts w:ascii="Arial" w:hAnsi="Arial" w:cs="Arial"/>
                <w:szCs w:val="22"/>
              </w:rPr>
              <w:t>Projekte mit einem hohen Innovationsgehalt oder</w:t>
            </w:r>
          </w:p>
          <w:p w14:paraId="617A0488" w14:textId="77777777" w:rsidR="00A66B31" w:rsidRPr="008E11C5" w:rsidRDefault="00A66B31" w:rsidP="008B2C33">
            <w:pPr>
              <w:numPr>
                <w:ilvl w:val="1"/>
                <w:numId w:val="4"/>
              </w:numPr>
              <w:spacing w:after="200" w:line="276" w:lineRule="auto"/>
              <w:contextualSpacing/>
              <w:jc w:val="both"/>
              <w:rPr>
                <w:rFonts w:ascii="Arial" w:hAnsi="Arial" w:cs="Arial"/>
                <w:szCs w:val="22"/>
              </w:rPr>
            </w:pPr>
            <w:r w:rsidRPr="008E11C5">
              <w:rPr>
                <w:rFonts w:ascii="Arial" w:hAnsi="Arial" w:cs="Arial"/>
                <w:szCs w:val="22"/>
              </w:rPr>
              <w:t>Projekte, in denen mit mehreren (mehr als 2) Kooperationspartnern/ Verbundpartnern gearbeitet wird (gilt nur für den EFRE)</w:t>
            </w:r>
          </w:p>
          <w:p w14:paraId="210CC43A" w14:textId="77777777" w:rsidR="00A66B31" w:rsidRPr="008E11C5" w:rsidRDefault="00A66B31" w:rsidP="008B2C33">
            <w:pPr>
              <w:numPr>
                <w:ilvl w:val="1"/>
                <w:numId w:val="4"/>
              </w:numPr>
              <w:spacing w:after="200" w:line="276" w:lineRule="auto"/>
              <w:contextualSpacing/>
              <w:jc w:val="both"/>
              <w:rPr>
                <w:rFonts w:ascii="Arial" w:hAnsi="Arial" w:cs="Arial"/>
                <w:szCs w:val="22"/>
              </w:rPr>
            </w:pPr>
            <w:r w:rsidRPr="008E11C5">
              <w:rPr>
                <w:rFonts w:ascii="Arial" w:hAnsi="Arial" w:cs="Arial"/>
                <w:szCs w:val="22"/>
              </w:rPr>
              <w:t>Projekte, die an mehreren (mehr als 2) Projektstandorten durchgeführt werden (gilt nur für den EFRE)</w:t>
            </w:r>
          </w:p>
          <w:p w14:paraId="01D0B15A" w14:textId="77777777" w:rsidR="00A66B31" w:rsidRDefault="00A66B31" w:rsidP="008B2C33">
            <w:pPr>
              <w:spacing w:after="200" w:line="276" w:lineRule="auto"/>
              <w:ind w:left="360"/>
              <w:contextualSpacing/>
              <w:jc w:val="both"/>
              <w:rPr>
                <w:rFonts w:ascii="Arial" w:hAnsi="Arial" w:cs="Arial"/>
                <w:szCs w:val="22"/>
              </w:rPr>
            </w:pPr>
          </w:p>
          <w:p w14:paraId="3E3079BA" w14:textId="77777777" w:rsidR="00A66B31" w:rsidRPr="00710BBB" w:rsidRDefault="00A66B31" w:rsidP="008B2C33">
            <w:pPr>
              <w:spacing w:after="200" w:line="276" w:lineRule="auto"/>
              <w:contextualSpacing/>
              <w:jc w:val="both"/>
              <w:rPr>
                <w:rFonts w:ascii="Arial" w:hAnsi="Arial" w:cs="Arial"/>
                <w:szCs w:val="22"/>
              </w:rPr>
            </w:pPr>
            <w:r w:rsidRPr="008E11C5">
              <w:rPr>
                <w:rFonts w:ascii="Arial" w:hAnsi="Arial" w:cs="Arial"/>
                <w:szCs w:val="22"/>
              </w:rPr>
              <w:lastRenderedPageBreak/>
              <w:t xml:space="preserve">Personal mit wissenschaftlichen, inhaltlich besonders anspruchsvollen oder kreativen Aufgaben </w:t>
            </w:r>
          </w:p>
        </w:tc>
      </w:tr>
    </w:tbl>
    <w:p w14:paraId="657D6074" w14:textId="77777777" w:rsidR="00A66B31" w:rsidRPr="007F3005" w:rsidRDefault="00A66B31" w:rsidP="008B5E18">
      <w:pPr>
        <w:jc w:val="both"/>
        <w:rPr>
          <w:rFonts w:ascii="Arial" w:hAnsi="Arial" w:cs="Arial"/>
        </w:rPr>
      </w:pPr>
    </w:p>
    <w:p w14:paraId="15EA1C6F" w14:textId="77777777" w:rsidR="008B5E18" w:rsidRPr="008E294D" w:rsidRDefault="007E6474" w:rsidP="007E6474">
      <w:pPr>
        <w:pStyle w:val="Listenabsatz"/>
        <w:numPr>
          <w:ilvl w:val="0"/>
          <w:numId w:val="2"/>
        </w:numPr>
        <w:jc w:val="both"/>
        <w:rPr>
          <w:rFonts w:ascii="Arial" w:hAnsi="Arial" w:cs="Arial"/>
          <w:b/>
        </w:rPr>
      </w:pPr>
      <w:r w:rsidRPr="008E294D">
        <w:rPr>
          <w:rFonts w:ascii="Arial" w:hAnsi="Arial" w:cs="Arial"/>
          <w:b/>
        </w:rPr>
        <w:t>Verfahren</w:t>
      </w:r>
    </w:p>
    <w:p w14:paraId="51517D14" w14:textId="77777777" w:rsidR="008B5E18" w:rsidRPr="007E6474" w:rsidRDefault="002D3A29" w:rsidP="008B5E18">
      <w:pPr>
        <w:jc w:val="both"/>
        <w:rPr>
          <w:rFonts w:ascii="Arial" w:hAnsi="Arial" w:cs="Arial"/>
        </w:rPr>
      </w:pPr>
      <w:r w:rsidRPr="007E6474">
        <w:rPr>
          <w:rFonts w:ascii="Arial" w:hAnsi="Arial" w:cs="Arial"/>
        </w:rPr>
        <w:t>Im Rahmen der Antragstellung werden folgende Unterlagen für die Geltendmachung und Abrechnung von Projektpersonal einzureichen sein:</w:t>
      </w:r>
    </w:p>
    <w:p w14:paraId="3E384F4B" w14:textId="77777777" w:rsidR="002D3A29" w:rsidRPr="000A5374" w:rsidRDefault="002D3A29" w:rsidP="002D3A29">
      <w:pPr>
        <w:pStyle w:val="Listenabsatz"/>
        <w:numPr>
          <w:ilvl w:val="0"/>
          <w:numId w:val="8"/>
        </w:numPr>
        <w:jc w:val="both"/>
        <w:rPr>
          <w:rFonts w:ascii="Arial" w:hAnsi="Arial" w:cs="Arial"/>
        </w:rPr>
      </w:pPr>
      <w:r w:rsidRPr="000A5374">
        <w:rPr>
          <w:rFonts w:ascii="Arial" w:hAnsi="Arial" w:cs="Arial"/>
        </w:rPr>
        <w:t>Qualifikationsnachweise</w:t>
      </w:r>
    </w:p>
    <w:p w14:paraId="1146C0B9" w14:textId="77777777" w:rsidR="002D3A29" w:rsidRPr="000A5374" w:rsidRDefault="002D3A29" w:rsidP="002D3A29">
      <w:pPr>
        <w:pStyle w:val="Listenabsatz"/>
        <w:numPr>
          <w:ilvl w:val="0"/>
          <w:numId w:val="8"/>
        </w:numPr>
        <w:jc w:val="both"/>
        <w:rPr>
          <w:rFonts w:ascii="Arial" w:hAnsi="Arial" w:cs="Arial"/>
        </w:rPr>
      </w:pPr>
      <w:r w:rsidRPr="000A5374">
        <w:rPr>
          <w:rFonts w:ascii="Arial" w:hAnsi="Arial" w:cs="Arial"/>
        </w:rPr>
        <w:t>Tätigkeitsbeschreibungen gem. Vordruck</w:t>
      </w:r>
      <w:r w:rsidR="007E6474" w:rsidRPr="000A5374">
        <w:rPr>
          <w:rFonts w:ascii="Arial" w:hAnsi="Arial" w:cs="Arial"/>
        </w:rPr>
        <w:t xml:space="preserve"> mit eigener Vorabeinstufung des Projektpersonals in eine der vorgenannten Funktionsstufen</w:t>
      </w:r>
      <w:r w:rsidRPr="000A5374">
        <w:rPr>
          <w:rFonts w:ascii="Arial" w:hAnsi="Arial" w:cs="Arial"/>
        </w:rPr>
        <w:t xml:space="preserve"> (wird in Kürze zur Verfügung gestellt)</w:t>
      </w:r>
    </w:p>
    <w:p w14:paraId="625C2FD4" w14:textId="77777777" w:rsidR="002D3A29" w:rsidRPr="000A5374" w:rsidRDefault="002D3A29" w:rsidP="00DC0C66">
      <w:pPr>
        <w:pStyle w:val="Listenabsatz"/>
        <w:numPr>
          <w:ilvl w:val="0"/>
          <w:numId w:val="8"/>
        </w:numPr>
        <w:jc w:val="both"/>
        <w:rPr>
          <w:rFonts w:ascii="Arial" w:hAnsi="Arial"/>
        </w:rPr>
      </w:pPr>
      <w:r w:rsidRPr="000A5374">
        <w:rPr>
          <w:rFonts w:ascii="Arial" w:hAnsi="Arial" w:cs="Arial"/>
        </w:rPr>
        <w:t>Übersicht Projektpersonal gem. Vordruck (wird in Kürze zur Verfügung gestellt)</w:t>
      </w:r>
    </w:p>
    <w:p w14:paraId="05A3C1D1" w14:textId="77777777" w:rsidR="002D3A29" w:rsidRPr="000A5374" w:rsidRDefault="002D3A29" w:rsidP="00DC0C66">
      <w:pPr>
        <w:pStyle w:val="Listenabsatz"/>
        <w:numPr>
          <w:ilvl w:val="0"/>
          <w:numId w:val="8"/>
        </w:numPr>
        <w:jc w:val="both"/>
        <w:rPr>
          <w:rFonts w:ascii="Arial" w:hAnsi="Arial"/>
        </w:rPr>
      </w:pPr>
      <w:r w:rsidRPr="000A5374">
        <w:rPr>
          <w:rFonts w:ascii="Arial" w:hAnsi="Arial" w:cs="Arial"/>
        </w:rPr>
        <w:t>Anweisung zum Personaleinsatz gem. Vordruck (wird in Kürze zur Verfügung gestellt)</w:t>
      </w:r>
    </w:p>
    <w:p w14:paraId="45AFBA1C" w14:textId="7C7C2693" w:rsidR="000A5374" w:rsidRDefault="000A5374" w:rsidP="003C7CC4">
      <w:pPr>
        <w:jc w:val="both"/>
        <w:rPr>
          <w:rFonts w:ascii="Arial" w:hAnsi="Arial"/>
        </w:rPr>
      </w:pPr>
      <w:r>
        <w:rPr>
          <w:rFonts w:ascii="Arial" w:hAnsi="Arial"/>
        </w:rPr>
        <w:t>Sofern die Unterlagen noch nicht im Kundeportal oder auf der Internetseite der NBank zur Verfügung stehen, muss an entsprechender Stelle im Kundenportal ein „Platzhalter“ hochgeladen werden.</w:t>
      </w:r>
    </w:p>
    <w:p w14:paraId="098C5335" w14:textId="1FF99AAE" w:rsidR="008E294D" w:rsidRDefault="007E6474" w:rsidP="003C7CC4">
      <w:pPr>
        <w:jc w:val="both"/>
        <w:rPr>
          <w:rFonts w:ascii="Arial" w:hAnsi="Arial" w:cs="Arial"/>
        </w:rPr>
      </w:pPr>
      <w:r>
        <w:rPr>
          <w:rFonts w:ascii="Arial" w:hAnsi="Arial"/>
        </w:rPr>
        <w:t xml:space="preserve">Die NBank prüft die Unterlagen, stuft das Projektpersonal in die einschlägige Funktionsstufe ein und ermittelt die zuwendungsfähigen Gesamtausgaben. </w:t>
      </w:r>
    </w:p>
    <w:p w14:paraId="6760BFBD" w14:textId="77777777" w:rsidR="008E294D" w:rsidRDefault="008E294D" w:rsidP="008B5E18">
      <w:pPr>
        <w:jc w:val="both"/>
        <w:rPr>
          <w:rFonts w:ascii="Arial" w:hAnsi="Arial" w:cs="Arial"/>
        </w:rPr>
      </w:pPr>
      <w:r>
        <w:rPr>
          <w:rFonts w:ascii="Arial" w:hAnsi="Arial" w:cs="Arial"/>
        </w:rPr>
        <w:t xml:space="preserve">Das Projektpersonal, welches mit einem festen Stellenanteil dem Projekt zugewiesen wird (dies geschieht über die Anlage „Anweisung zum Personaleinsatz“) muss für die Projektabrechnung keine Stundennachweise mehr führen. Für dieses Projektpersonal ist lediglich der Fortbestand der </w:t>
      </w:r>
      <w:r w:rsidR="004F7AB8">
        <w:rPr>
          <w:rFonts w:ascii="Arial" w:eastAsia="Times New Roman" w:hAnsi="Arial" w:cs="Arial"/>
        </w:rPr>
        <w:t>Fortgeltung der im Rahmen des Förderantrages abgegebenen Anweisung zum Personaleinsatz gem. Vordruck der NBank subventionserheblich zu erklären.</w:t>
      </w:r>
    </w:p>
    <w:p w14:paraId="30AC4454" w14:textId="77777777" w:rsidR="008B5E18" w:rsidRPr="007044DE" w:rsidRDefault="008B5E18" w:rsidP="008B5E18">
      <w:pPr>
        <w:spacing w:after="240"/>
        <w:rPr>
          <w:rFonts w:ascii="Arial" w:hAnsi="Arial" w:cs="Arial"/>
        </w:rPr>
      </w:pPr>
    </w:p>
    <w:p w14:paraId="5BC61418" w14:textId="77777777" w:rsidR="008B5E18" w:rsidRPr="00603BEF" w:rsidRDefault="008B5E18" w:rsidP="008B5E18">
      <w:pPr>
        <w:jc w:val="both"/>
        <w:rPr>
          <w:rFonts w:ascii="Arial" w:hAnsi="Arial"/>
        </w:rPr>
      </w:pPr>
    </w:p>
    <w:p w14:paraId="58FDC4CB" w14:textId="77777777" w:rsidR="00297187" w:rsidRPr="00297187" w:rsidRDefault="00297187" w:rsidP="008B5E18">
      <w:pPr>
        <w:jc w:val="both"/>
        <w:rPr>
          <w:b/>
        </w:rPr>
      </w:pPr>
    </w:p>
    <w:sectPr w:rsidR="00297187" w:rsidRPr="002971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1DE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18115C"/>
    <w:multiLevelType w:val="hybridMultilevel"/>
    <w:tmpl w:val="1FDC7BEC"/>
    <w:lvl w:ilvl="0" w:tplc="42CC1920">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6500D47"/>
    <w:multiLevelType w:val="multilevel"/>
    <w:tmpl w:val="3E2EF2FE"/>
    <w:lvl w:ilvl="0">
      <w:start w:val="71"/>
      <w:numFmt w:val="decimal"/>
      <w:lvlText w:val="%1"/>
      <w:lvlJc w:val="left"/>
      <w:pPr>
        <w:ind w:left="610" w:hanging="610"/>
      </w:pPr>
      <w:rPr>
        <w:rFonts w:asciiTheme="minorHAnsi" w:hAnsiTheme="minorHAnsi" w:cstheme="minorBidi" w:hint="default"/>
        <w:sz w:val="22"/>
      </w:rPr>
    </w:lvl>
    <w:lvl w:ilvl="1">
      <w:start w:val="698"/>
      <w:numFmt w:val="decimal"/>
      <w:lvlText w:val="%1.%2"/>
      <w:lvlJc w:val="left"/>
      <w:pPr>
        <w:ind w:left="610" w:hanging="61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 w15:restartNumberingAfterBreak="0">
    <w:nsid w:val="2D722FA0"/>
    <w:multiLevelType w:val="hybridMultilevel"/>
    <w:tmpl w:val="432EBCBC"/>
    <w:lvl w:ilvl="0" w:tplc="78D284D6">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DF2284"/>
    <w:multiLevelType w:val="hybridMultilevel"/>
    <w:tmpl w:val="444C7FCA"/>
    <w:lvl w:ilvl="0" w:tplc="641E65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3A6D07"/>
    <w:multiLevelType w:val="hybridMultilevel"/>
    <w:tmpl w:val="8432E9D4"/>
    <w:lvl w:ilvl="0" w:tplc="78D284D6">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A1E4834"/>
    <w:multiLevelType w:val="hybridMultilevel"/>
    <w:tmpl w:val="190421C4"/>
    <w:lvl w:ilvl="0" w:tplc="BA7EF9A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197B26"/>
    <w:multiLevelType w:val="hybridMultilevel"/>
    <w:tmpl w:val="D064064E"/>
    <w:lvl w:ilvl="0" w:tplc="3F46E924">
      <w:start w:val="1"/>
      <w:numFmt w:val="lowerLetter"/>
      <w:lvlText w:val="%1)"/>
      <w:lvlJc w:val="left"/>
      <w:pPr>
        <w:ind w:left="720" w:hanging="360"/>
      </w:pPr>
      <w:rPr>
        <w:rFonts w:ascii="Arial" w:eastAsia="Times New Roman" w:hAnsi="Arial" w:cs="Arial"/>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CB57594"/>
    <w:multiLevelType w:val="hybridMultilevel"/>
    <w:tmpl w:val="52723ED6"/>
    <w:lvl w:ilvl="0" w:tplc="4FFE28BE">
      <w:start w:val="1"/>
      <w:numFmt w:val="upperRoman"/>
      <w:lvlText w:val="%1."/>
      <w:lvlJc w:val="left"/>
      <w:pPr>
        <w:ind w:left="143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
  </w:num>
  <w:num w:numId="5">
    <w:abstractNumId w:val="7"/>
  </w:num>
  <w:num w:numId="6">
    <w:abstractNumId w:val="5"/>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D8"/>
    <w:rsid w:val="000219C1"/>
    <w:rsid w:val="000422A8"/>
    <w:rsid w:val="00074115"/>
    <w:rsid w:val="000A5374"/>
    <w:rsid w:val="000E6F42"/>
    <w:rsid w:val="00145F1C"/>
    <w:rsid w:val="00194FBA"/>
    <w:rsid w:val="001E0040"/>
    <w:rsid w:val="001E271B"/>
    <w:rsid w:val="00203704"/>
    <w:rsid w:val="00204BB5"/>
    <w:rsid w:val="0023730A"/>
    <w:rsid w:val="00297187"/>
    <w:rsid w:val="002D3A29"/>
    <w:rsid w:val="003C7CC4"/>
    <w:rsid w:val="004A209E"/>
    <w:rsid w:val="004F7AB8"/>
    <w:rsid w:val="0050530A"/>
    <w:rsid w:val="0052728B"/>
    <w:rsid w:val="005D245C"/>
    <w:rsid w:val="00626DD3"/>
    <w:rsid w:val="0069362C"/>
    <w:rsid w:val="00772FD8"/>
    <w:rsid w:val="007E0D7A"/>
    <w:rsid w:val="007E6474"/>
    <w:rsid w:val="008B5E18"/>
    <w:rsid w:val="008E294D"/>
    <w:rsid w:val="00920CB5"/>
    <w:rsid w:val="00946EC7"/>
    <w:rsid w:val="00A1516E"/>
    <w:rsid w:val="00A66B31"/>
    <w:rsid w:val="00A97974"/>
    <w:rsid w:val="00AF090A"/>
    <w:rsid w:val="00B10ACF"/>
    <w:rsid w:val="00B40622"/>
    <w:rsid w:val="00C65917"/>
    <w:rsid w:val="00DE0FBF"/>
    <w:rsid w:val="00F62B99"/>
    <w:rsid w:val="00F720EE"/>
    <w:rsid w:val="00FE2D4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BA8E"/>
  <w15:chartTrackingRefBased/>
  <w15:docId w15:val="{6C837FFC-069A-41F7-BB25-8C627966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65917"/>
    <w:pPr>
      <w:ind w:left="720"/>
      <w:contextualSpacing/>
    </w:pPr>
  </w:style>
  <w:style w:type="character" w:styleId="Kommentarzeichen">
    <w:name w:val="annotation reference"/>
    <w:basedOn w:val="Absatz-Standardschriftart"/>
    <w:uiPriority w:val="99"/>
    <w:semiHidden/>
    <w:unhideWhenUsed/>
    <w:rsid w:val="00203704"/>
    <w:rPr>
      <w:sz w:val="16"/>
      <w:szCs w:val="16"/>
    </w:rPr>
  </w:style>
  <w:style w:type="paragraph" w:styleId="Kommentartext">
    <w:name w:val="annotation text"/>
    <w:basedOn w:val="Standard"/>
    <w:link w:val="KommentartextZchn"/>
    <w:uiPriority w:val="99"/>
    <w:semiHidden/>
    <w:unhideWhenUsed/>
    <w:rsid w:val="0020370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03704"/>
    <w:rPr>
      <w:sz w:val="20"/>
      <w:szCs w:val="20"/>
    </w:rPr>
  </w:style>
  <w:style w:type="paragraph" w:styleId="Kommentarthema">
    <w:name w:val="annotation subject"/>
    <w:basedOn w:val="Kommentartext"/>
    <w:next w:val="Kommentartext"/>
    <w:link w:val="KommentarthemaZchn"/>
    <w:uiPriority w:val="99"/>
    <w:semiHidden/>
    <w:unhideWhenUsed/>
    <w:rsid w:val="00203704"/>
    <w:rPr>
      <w:b/>
      <w:bCs/>
    </w:rPr>
  </w:style>
  <w:style w:type="character" w:customStyle="1" w:styleId="KommentarthemaZchn">
    <w:name w:val="Kommentarthema Zchn"/>
    <w:basedOn w:val="KommentartextZchn"/>
    <w:link w:val="Kommentarthema"/>
    <w:uiPriority w:val="99"/>
    <w:semiHidden/>
    <w:rsid w:val="00203704"/>
    <w:rPr>
      <w:b/>
      <w:bCs/>
      <w:sz w:val="20"/>
      <w:szCs w:val="20"/>
    </w:rPr>
  </w:style>
  <w:style w:type="paragraph" w:styleId="Sprechblasentext">
    <w:name w:val="Balloon Text"/>
    <w:basedOn w:val="Standard"/>
    <w:link w:val="SprechblasentextZchn"/>
    <w:uiPriority w:val="99"/>
    <w:semiHidden/>
    <w:unhideWhenUsed/>
    <w:rsid w:val="002037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04"/>
    <w:rPr>
      <w:rFonts w:ascii="Segoe UI" w:hAnsi="Segoe UI" w:cs="Segoe UI"/>
      <w:sz w:val="18"/>
      <w:szCs w:val="18"/>
    </w:rPr>
  </w:style>
  <w:style w:type="table" w:styleId="Tabellenraster">
    <w:name w:val="Table Grid"/>
    <w:basedOn w:val="NormaleTabelle"/>
    <w:rsid w:val="008B5E18"/>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16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829D6-EEEB-49F5-9228-8FADEDA7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NBank</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Bode-Schütte, Reinhard</dc:creator>
  <cp:keywords/>
  <dc:description/>
  <cp:lastModifiedBy>Ehrenreich, Philipp</cp:lastModifiedBy>
  <cp:revision>3</cp:revision>
  <dcterms:created xsi:type="dcterms:W3CDTF">2022-05-12T09:03:00Z</dcterms:created>
  <dcterms:modified xsi:type="dcterms:W3CDTF">2022-05-12T09:04:00Z</dcterms:modified>
</cp:coreProperties>
</file>