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40" w:rsidRPr="00894765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99668A">
        <w:rPr>
          <w:rFonts w:ascii="Arial" w:hAnsi="Arial" w:cs="Arial"/>
          <w:b/>
          <w:color w:val="00269B"/>
          <w:sz w:val="24"/>
          <w:szCs w:val="24"/>
        </w:rPr>
        <w:t>Öffnung von Hochschulen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:rsidTr="00FE0C88">
        <w:tc>
          <w:tcPr>
            <w:tcW w:w="9210" w:type="dxa"/>
            <w:shd w:val="clear" w:color="auto" w:fill="D2DDFF"/>
          </w:tcPr>
          <w:p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:rsidR="00E34E61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786CA4">
              <w:rPr>
                <w:rFonts w:ascii="Arial" w:hAnsi="Arial" w:cs="Arial"/>
                <w:color w:val="00269B"/>
              </w:rPr>
              <w:t>5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>nicht überschreiten. Eine Überschreitung der Seitenzahl hat negativen Einfluss auf die Bewertung.</w:t>
            </w:r>
          </w:p>
          <w:p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786CA4">
              <w:rPr>
                <w:rFonts w:ascii="Arial" w:hAnsi="Arial" w:cs="Arial"/>
                <w:color w:val="00269B"/>
              </w:rPr>
              <w:t xml:space="preserve">Schriftart und -größe sind auf Arial 11 festgelegt. Es ist ein 1,15facher Zeilenabstand sowie ein </w:t>
            </w:r>
            <w:r w:rsidR="00637B4B" w:rsidRPr="00786CA4">
              <w:rPr>
                <w:rFonts w:ascii="Arial" w:hAnsi="Arial" w:cs="Arial"/>
                <w:color w:val="00269B"/>
              </w:rPr>
              <w:t>2,5</w:t>
            </w:r>
            <w:r w:rsidRPr="00786CA4">
              <w:rPr>
                <w:rFonts w:ascii="Arial" w:hAnsi="Arial" w:cs="Arial"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>Formatierungen des Textes sind möglich (Fettdruck, Unterstr</w:t>
            </w:r>
            <w:r w:rsidR="00786CA4">
              <w:rPr>
                <w:rFonts w:ascii="Arial" w:hAnsi="Arial" w:cs="Arial"/>
                <w:color w:val="00269B"/>
              </w:rPr>
              <w:t>eichungen usw.</w:t>
            </w:r>
            <w:r w:rsidRPr="00FA2088">
              <w:rPr>
                <w:rFonts w:ascii="Arial" w:hAnsi="Arial" w:cs="Arial"/>
                <w:color w:val="00269B"/>
              </w:rPr>
              <w:t xml:space="preserve">). </w:t>
            </w:r>
          </w:p>
          <w:p w:rsidR="0042482A" w:rsidRDefault="0042482A" w:rsidP="00F058A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547E11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BF32C0">
              <w:rPr>
                <w:rFonts w:ascii="Arial" w:hAnsi="Arial" w:cs="Arial"/>
                <w:color w:val="00269B"/>
              </w:rPr>
              <w:t xml:space="preserve">. </w:t>
            </w:r>
            <w:r w:rsidR="00BF32C0" w:rsidRPr="00BF32C0">
              <w:rPr>
                <w:rFonts w:ascii="Arial" w:hAnsi="Arial" w:cs="Arial"/>
                <w:color w:val="00269B"/>
              </w:rPr>
              <w:t>Die Anlagen sind auf wesentliche Bestandteile zu beschrä</w:t>
            </w:r>
            <w:r w:rsidR="00BF32C0">
              <w:rPr>
                <w:rFonts w:ascii="Arial" w:hAnsi="Arial" w:cs="Arial"/>
                <w:color w:val="00269B"/>
              </w:rPr>
              <w:t>nken (z. B. Vernetzungsplan, Ablaufplan, Tä</w:t>
            </w:r>
            <w:r w:rsidR="00BF32C0" w:rsidRPr="00BF32C0">
              <w:rPr>
                <w:rFonts w:ascii="Arial" w:hAnsi="Arial" w:cs="Arial"/>
                <w:color w:val="00269B"/>
              </w:rPr>
              <w:t>tigkeitsbeschreibungen,</w:t>
            </w:r>
            <w:r w:rsidR="00BF32C0">
              <w:rPr>
                <w:rFonts w:ascii="Arial" w:hAnsi="Arial" w:cs="Arial"/>
                <w:color w:val="00269B"/>
              </w:rPr>
              <w:t xml:space="preserve"> Nachweise über die Qualifikation des Personals, vorbereitete Kooperationsverträge</w:t>
            </w:r>
            <w:r w:rsidR="00BF32C0" w:rsidRPr="00BF32C0">
              <w:rPr>
                <w:rFonts w:ascii="Arial" w:hAnsi="Arial" w:cs="Arial"/>
                <w:color w:val="00269B"/>
              </w:rPr>
              <w:t xml:space="preserve">, Stellungnahmen Dritter). Ein bloßer Verweis auf eine Anlage, ohne Erläuterung der </w:t>
            </w:r>
            <w:r w:rsidR="00BF32C0">
              <w:rPr>
                <w:rFonts w:ascii="Arial" w:hAnsi="Arial" w:cs="Arial"/>
                <w:color w:val="00269B"/>
              </w:rPr>
              <w:t>Thematik in der Projektbeschrei</w:t>
            </w:r>
            <w:r w:rsidR="00BF32C0" w:rsidRPr="00BF32C0">
              <w:rPr>
                <w:rFonts w:ascii="Arial" w:hAnsi="Arial" w:cs="Arial"/>
                <w:color w:val="00269B"/>
              </w:rPr>
              <w:t xml:space="preserve">bung, ist nicht ausreichend. Bitte überfrachten Sie den Antrag nicht mit Anlagen und achten </w:t>
            </w:r>
            <w:r w:rsidR="00A3737D">
              <w:rPr>
                <w:rFonts w:ascii="Arial" w:hAnsi="Arial" w:cs="Arial"/>
                <w:color w:val="00269B"/>
              </w:rPr>
              <w:t xml:space="preserve">Sie </w:t>
            </w:r>
            <w:r w:rsidR="00BF32C0" w:rsidRPr="00BF32C0">
              <w:rPr>
                <w:rFonts w:ascii="Arial" w:hAnsi="Arial" w:cs="Arial"/>
                <w:color w:val="00269B"/>
              </w:rPr>
              <w:t>auf die Kongruenz und die Qualität aller Unterlagen.</w:t>
            </w:r>
            <w:r w:rsidR="00BB34E6">
              <w:t xml:space="preserve"> </w:t>
            </w:r>
            <w:r w:rsidR="00BB34E6" w:rsidRPr="00BB34E6">
              <w:rPr>
                <w:rFonts w:ascii="Arial" w:hAnsi="Arial" w:cs="Arial"/>
                <w:color w:val="00269B"/>
              </w:rPr>
              <w:t>Als Hilfestellung finden Sie auf der letzten Seite dieses Dokumentes eine Checkliste der zur Antragstellung erforderlichen Unterlagen.</w:t>
            </w:r>
            <w:r w:rsidR="005B47E5">
              <w:rPr>
                <w:rFonts w:ascii="Arial" w:hAnsi="Arial" w:cs="Arial"/>
                <w:color w:val="00269B"/>
              </w:rPr>
              <w:t xml:space="preserve"> </w:t>
            </w:r>
          </w:p>
          <w:p w:rsidR="0042482A" w:rsidRDefault="0042482A" w:rsidP="001B655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:rsidR="005B47E5" w:rsidRDefault="005B47E5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</w:t>
            </w:r>
            <w:r w:rsidR="00A3737D">
              <w:rPr>
                <w:rFonts w:ascii="Arial" w:hAnsi="Arial" w:cs="Arial"/>
                <w:color w:val="00269B"/>
              </w:rPr>
              <w:t>ist mit zw</w:t>
            </w:r>
            <w:r w:rsidRPr="00626DFD">
              <w:rPr>
                <w:rFonts w:ascii="Arial" w:hAnsi="Arial" w:cs="Arial"/>
                <w:color w:val="00269B"/>
              </w:rPr>
              <w:t xml:space="preserve">ei Hauptüberschriften versehen. Diese Überschriften entsprechen den Qualitätskriterien der </w:t>
            </w:r>
            <w:r w:rsidR="00B444FC">
              <w:rPr>
                <w:rFonts w:ascii="Arial" w:hAnsi="Arial" w:cs="Arial"/>
                <w:color w:val="00269B"/>
              </w:rPr>
              <w:t>Richtlinie (siehe Ziffer 4.3 der Richtlinie</w:t>
            </w:r>
            <w:r w:rsidRPr="00626DFD">
              <w:rPr>
                <w:rFonts w:ascii="Arial" w:hAnsi="Arial" w:cs="Arial"/>
                <w:color w:val="00269B"/>
              </w:rPr>
              <w:t xml:space="preserve"> für die Gewährung von Zuwendungen zur Förderung von </w:t>
            </w:r>
            <w:r w:rsidR="00B444FC">
              <w:rPr>
                <w:rFonts w:ascii="Arial" w:hAnsi="Arial" w:cs="Arial"/>
                <w:color w:val="00269B"/>
              </w:rPr>
              <w:t>Projekten zur Öffnung von Hochschulen</w:t>
            </w:r>
            <w:r w:rsidRPr="00626DFD">
              <w:rPr>
                <w:rFonts w:ascii="Arial" w:hAnsi="Arial" w:cs="Arial"/>
                <w:color w:val="00269B"/>
              </w:rPr>
              <w:t>). Welche Inhalte unter den jeweiligen Überschriften darzustellen sind, wird anhand von verbindlichen Unter</w:t>
            </w:r>
            <w:r w:rsidR="006E6D5A">
              <w:rPr>
                <w:rFonts w:ascii="Arial" w:hAnsi="Arial" w:cs="Arial"/>
                <w:color w:val="00269B"/>
              </w:rPr>
              <w:t>punkten zu der Richtlinie</w:t>
            </w:r>
            <w:r w:rsidRPr="00626DFD">
              <w:rPr>
                <w:rFonts w:ascii="Arial" w:hAnsi="Arial" w:cs="Arial"/>
                <w:color w:val="00269B"/>
              </w:rPr>
              <w:t xml:space="preserve"> vorgegeben. Bitte nutzen Sie ausschließlich die hier</w:t>
            </w:r>
            <w:r w:rsidRPr="008533D9">
              <w:rPr>
                <w:rFonts w:ascii="Arial" w:hAnsi="Arial" w:cs="Arial"/>
                <w:color w:val="00269B"/>
              </w:rPr>
              <w:t xml:space="preserve"> festgelegte Untergliederung für die Beschreibung Ihres Projektes.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</w:p>
          <w:p w:rsidR="003B660A" w:rsidRPr="00486F46" w:rsidRDefault="003B660A" w:rsidP="003B660A">
            <w:pPr>
              <w:shd w:val="clear" w:color="auto" w:fill="D2DDFF"/>
              <w:spacing w:after="0"/>
              <w:rPr>
                <w:rFonts w:ascii="Arial" w:hAnsi="Arial" w:cs="Arial"/>
                <w:b/>
                <w:color w:val="00269B"/>
              </w:rPr>
            </w:pPr>
            <w:r w:rsidRPr="00486F46">
              <w:rPr>
                <w:rFonts w:ascii="Arial" w:hAnsi="Arial" w:cs="Arial"/>
                <w:b/>
                <w:color w:val="00269B"/>
              </w:rPr>
              <w:t>Wie sind die Querschnittsziele in die Projektbeschreibung einzubinden?</w:t>
            </w:r>
          </w:p>
          <w:p w:rsidR="003B660A" w:rsidRDefault="003B660A" w:rsidP="003B660A">
            <w:pPr>
              <w:shd w:val="clear" w:color="auto" w:fill="D2DDFF"/>
              <w:spacing w:after="0"/>
              <w:rPr>
                <w:rFonts w:ascii="Arial" w:hAnsi="Arial" w:cs="Arial"/>
                <w:color w:val="00269B"/>
              </w:rPr>
            </w:pPr>
            <w:r w:rsidRPr="00626DFD">
              <w:rPr>
                <w:rFonts w:ascii="Arial" w:hAnsi="Arial" w:cs="Arial"/>
                <w:color w:val="00269B"/>
              </w:rPr>
              <w:t>Die Querschnittsziele sind in die einzelnen Qualitätskriterien</w:t>
            </w:r>
            <w:r>
              <w:rPr>
                <w:rFonts w:ascii="Arial" w:hAnsi="Arial" w:cs="Arial"/>
                <w:color w:val="00269B"/>
              </w:rPr>
              <w:t xml:space="preserve"> der Richtlinie</w:t>
            </w:r>
            <w:r w:rsidRPr="00626DFD">
              <w:rPr>
                <w:rFonts w:ascii="Arial" w:hAnsi="Arial" w:cs="Arial"/>
                <w:color w:val="00269B"/>
              </w:rPr>
              <w:t xml:space="preserve"> zu integrieren. Die Herangehensweise erfordert bereits bei der Projektplanung eine Auseinandersetzung mit den Zielen der Gleichstellung, Chancengleichh</w:t>
            </w:r>
            <w:r>
              <w:rPr>
                <w:rFonts w:ascii="Arial" w:hAnsi="Arial" w:cs="Arial"/>
                <w:color w:val="00269B"/>
              </w:rPr>
              <w:t xml:space="preserve">eit und </w:t>
            </w:r>
            <w:r w:rsidRPr="00626DFD">
              <w:rPr>
                <w:rFonts w:ascii="Arial" w:hAnsi="Arial" w:cs="Arial"/>
                <w:color w:val="00269B"/>
              </w:rPr>
              <w:t xml:space="preserve">Nichtdiskriminierung, </w:t>
            </w:r>
            <w:r>
              <w:rPr>
                <w:rFonts w:ascii="Arial" w:hAnsi="Arial" w:cs="Arial"/>
                <w:color w:val="00269B"/>
              </w:rPr>
              <w:t>Nachhaltigen Entwicklung und G</w:t>
            </w:r>
            <w:r w:rsidRPr="00626DFD">
              <w:rPr>
                <w:rFonts w:ascii="Arial" w:hAnsi="Arial" w:cs="Arial"/>
                <w:color w:val="00269B"/>
              </w:rPr>
              <w:t>uten Arbeit. Ihr Konzept muss hierzu geeignete Maßnahmen und Aktivitäten beinhalten, wie bei der 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sollen. Der Anlage zur Richtlinie</w:t>
            </w:r>
            <w:r w:rsidRPr="00F033D3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können Sie beispielhafte Projektbeiträge zu den Querschnittszielen entnehmen.</w:t>
            </w:r>
          </w:p>
          <w:p w:rsidR="003B660A" w:rsidRPr="006C2655" w:rsidRDefault="003B660A" w:rsidP="003B660A">
            <w:pPr>
              <w:shd w:val="clear" w:color="auto" w:fill="D2DDFF"/>
              <w:spacing w:after="0"/>
              <w:rPr>
                <w:rFonts w:ascii="Arial" w:hAnsi="Arial" w:cs="Arial"/>
                <w:color w:val="00269B"/>
              </w:rPr>
            </w:pPr>
          </w:p>
          <w:p w:rsidR="00F17310" w:rsidRDefault="003B660A" w:rsidP="003B660A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CD2E9B">
              <w:rPr>
                <w:rFonts w:ascii="Arial" w:hAnsi="Arial" w:cs="Arial"/>
                <w:color w:val="00269B"/>
              </w:rPr>
              <w:t xml:space="preserve">Wir empfehlen Ihnen, bei der Bearbeitung der Querschnittsziele unsere Arbeitshilfe zu den Querschnittszielen zu nutzen (Download unter </w:t>
            </w:r>
            <w:hyperlink r:id="rId8" w:history="1">
              <w:r w:rsidRPr="006E6172">
                <w:rPr>
                  <w:rStyle w:val="Hyperlink"/>
                  <w:rFonts w:ascii="Arial" w:hAnsi="Arial" w:cs="Arial"/>
                </w:rPr>
                <w:t>www.nbank.de</w:t>
              </w:r>
            </w:hyperlink>
            <w:r w:rsidRPr="00CD2E9B">
              <w:rPr>
                <w:rFonts w:ascii="Arial" w:hAnsi="Arial" w:cs="Arial"/>
                <w:color w:val="00269B"/>
              </w:rPr>
              <w:t>).</w:t>
            </w:r>
          </w:p>
          <w:p w:rsidR="003B660A" w:rsidRPr="003B660A" w:rsidRDefault="003B660A" w:rsidP="003B660A">
            <w:pPr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</w:tbl>
    <w:p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9"/>
          <w:footerReference w:type="first" r:id="rId10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:rsidR="007454CC" w:rsidRDefault="00AA3C5A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noProof/>
          <w:color w:val="00269B"/>
          <w:sz w:val="28"/>
          <w:szCs w:val="28"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48AE3380" wp14:editId="5DFA872C">
            <wp:simplePos x="0" y="0"/>
            <wp:positionH relativeFrom="column">
              <wp:posOffset>5212080</wp:posOffset>
            </wp:positionH>
            <wp:positionV relativeFrom="paragraph">
              <wp:posOffset>-43516</wp:posOffset>
            </wp:positionV>
            <wp:extent cx="540000" cy="5400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59-Projektbeschreibu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3040" w:rsidRPr="00BD44E6">
        <w:rPr>
          <w:rFonts w:ascii="Arial" w:hAnsi="Arial" w:cs="Arial"/>
          <w:b/>
          <w:color w:val="00269B"/>
          <w:sz w:val="28"/>
          <w:szCs w:val="28"/>
        </w:rPr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="009E3040"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12318D">
        <w:rPr>
          <w:rFonts w:ascii="Arial" w:hAnsi="Arial" w:cs="Arial"/>
          <w:b/>
          <w:color w:val="00269B"/>
          <w:sz w:val="28"/>
          <w:szCs w:val="28"/>
        </w:rPr>
        <w:br/>
      </w:r>
      <w:r w:rsidR="0012318D" w:rsidRPr="0012318D">
        <w:rPr>
          <w:rFonts w:ascii="Arial" w:hAnsi="Arial" w:cs="Arial"/>
          <w:b/>
          <w:color w:val="00269B"/>
          <w:sz w:val="24"/>
          <w:szCs w:val="24"/>
        </w:rPr>
        <w:t>Öffnung von Hochschulen</w:t>
      </w:r>
      <w:r w:rsidRPr="00AA3C5A">
        <w:rPr>
          <w:rFonts w:ascii="Arial" w:hAnsi="Arial" w:cs="Arial"/>
          <w:b/>
          <w:noProof/>
          <w:color w:val="00269B"/>
          <w:sz w:val="28"/>
          <w:szCs w:val="28"/>
          <w:lang w:eastAsia="de-DE"/>
        </w:rPr>
        <w:t xml:space="preserve"> </w:t>
      </w:r>
    </w:p>
    <w:p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Pr="003D37E1">
        <w:rPr>
          <w:rFonts w:ascii="Arial" w:hAnsi="Arial" w:cs="Arial"/>
          <w:b/>
          <w:color w:val="00269B"/>
        </w:rPr>
        <w:t>. Vielen Dank!</w:t>
      </w:r>
    </w:p>
    <w:tbl>
      <w:tblPr>
        <w:tblW w:w="9183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230"/>
        <w:gridCol w:w="418"/>
        <w:gridCol w:w="4535"/>
      </w:tblGrid>
      <w:tr w:rsidR="00BA3788" w:rsidTr="00701E34">
        <w:trPr>
          <w:trHeight w:val="382"/>
        </w:trPr>
        <w:tc>
          <w:tcPr>
            <w:tcW w:w="9183" w:type="dxa"/>
            <w:gridSpan w:val="3"/>
            <w:tcBorders>
              <w:bottom w:val="nil"/>
            </w:tcBorders>
            <w:shd w:val="clear" w:color="auto" w:fill="D2DDFF"/>
          </w:tcPr>
          <w:p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:rsidTr="00701E34">
        <w:trPr>
          <w:trHeight w:val="477"/>
        </w:trPr>
        <w:tc>
          <w:tcPr>
            <w:tcW w:w="4648" w:type="dxa"/>
            <w:gridSpan w:val="2"/>
            <w:tcBorders>
              <w:bottom w:val="nil"/>
            </w:tcBorders>
            <w:shd w:val="clear" w:color="auto" w:fill="auto"/>
          </w:tcPr>
          <w:p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535" w:type="dxa"/>
            <w:tcBorders>
              <w:bottom w:val="nil"/>
            </w:tcBorders>
            <w:shd w:val="clear" w:color="auto" w:fill="auto"/>
          </w:tcPr>
          <w:p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274217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C5A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Ja</w:t>
            </w:r>
            <w:r w:rsidR="003C6AA4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765686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C5A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Nein</w:t>
            </w:r>
            <w:r w:rsidR="003C6AA4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</w:tr>
      <w:tr w:rsidR="00BA3788" w:rsidTr="00701E34">
        <w:trPr>
          <w:trHeight w:val="382"/>
        </w:trPr>
        <w:tc>
          <w:tcPr>
            <w:tcW w:w="9183" w:type="dxa"/>
            <w:gridSpan w:val="3"/>
            <w:tcBorders>
              <w:bottom w:val="nil"/>
            </w:tcBorders>
            <w:shd w:val="clear" w:color="auto" w:fill="D2DDFF"/>
          </w:tcPr>
          <w:p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:rsidTr="00701E34">
        <w:trPr>
          <w:trHeight w:val="573"/>
        </w:trPr>
        <w:tc>
          <w:tcPr>
            <w:tcW w:w="4648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535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Tr="00701E34">
        <w:trPr>
          <w:trHeight w:val="152"/>
        </w:trPr>
        <w:tc>
          <w:tcPr>
            <w:tcW w:w="9183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:rsidTr="00701E34">
        <w:trPr>
          <w:trHeight w:val="532"/>
        </w:trPr>
        <w:tc>
          <w:tcPr>
            <w:tcW w:w="4648" w:type="dxa"/>
            <w:gridSpan w:val="2"/>
            <w:shd w:val="clear" w:color="auto" w:fill="FFFFFF"/>
          </w:tcPr>
          <w:p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535" w:type="dxa"/>
            <w:shd w:val="clear" w:color="auto" w:fill="FFFFFF"/>
          </w:tcPr>
          <w:p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701E34">
        <w:trPr>
          <w:trHeight w:val="155"/>
        </w:trPr>
        <w:tc>
          <w:tcPr>
            <w:tcW w:w="9183" w:type="dxa"/>
            <w:gridSpan w:val="3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:rsidTr="00701E34">
        <w:trPr>
          <w:trHeight w:val="538"/>
        </w:trPr>
        <w:tc>
          <w:tcPr>
            <w:tcW w:w="4648" w:type="dxa"/>
            <w:gridSpan w:val="2"/>
            <w:shd w:val="clear" w:color="auto" w:fill="FFFFFF"/>
          </w:tcPr>
          <w:p w:rsidR="008C3ABA" w:rsidRPr="009E229D" w:rsidRDefault="008C3ABA" w:rsidP="00701E34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</w:t>
            </w:r>
            <w:r w:rsidR="00701E34">
              <w:rPr>
                <w:rFonts w:ascii="Arial" w:hAnsi="Arial" w:cs="Arial"/>
                <w:color w:val="00269B"/>
                <w:sz w:val="16"/>
                <w:szCs w:val="16"/>
              </w:rPr>
              <w:t>ierende Einrichtungen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vollständiger Anschrift)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535" w:type="dxa"/>
            <w:shd w:val="clear" w:color="auto" w:fill="FFFFFF"/>
          </w:tcPr>
          <w:p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:rsidTr="00701E34">
        <w:trPr>
          <w:trHeight w:val="155"/>
        </w:trPr>
        <w:tc>
          <w:tcPr>
            <w:tcW w:w="9183" w:type="dxa"/>
            <w:gridSpan w:val="3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:rsidTr="00701E34">
        <w:trPr>
          <w:trHeight w:val="538"/>
        </w:trPr>
        <w:tc>
          <w:tcPr>
            <w:tcW w:w="4648" w:type="dxa"/>
            <w:gridSpan w:val="2"/>
            <w:shd w:val="clear" w:color="auto" w:fill="FFFFFF"/>
          </w:tcPr>
          <w:p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535" w:type="dxa"/>
            <w:shd w:val="clear" w:color="auto" w:fill="FFFFFF"/>
          </w:tcPr>
          <w:p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701E34">
        <w:trPr>
          <w:trHeight w:val="148"/>
        </w:trPr>
        <w:tc>
          <w:tcPr>
            <w:tcW w:w="9183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701E34">
        <w:trPr>
          <w:trHeight w:val="2265"/>
        </w:trPr>
        <w:tc>
          <w:tcPr>
            <w:tcW w:w="9183" w:type="dxa"/>
            <w:gridSpan w:val="3"/>
            <w:shd w:val="clear" w:color="auto" w:fill="FFFFFF"/>
          </w:tcPr>
          <w:p w:rsidR="008B0398" w:rsidRDefault="008B0398" w:rsidP="008B0398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Fördergegenstände</w:t>
            </w:r>
            <w:r w:rsidR="00DB763E">
              <w:rPr>
                <w:rFonts w:ascii="Arial" w:hAnsi="Arial" w:cs="Arial"/>
                <w:color w:val="00269B"/>
                <w:sz w:val="16"/>
                <w:szCs w:val="16"/>
              </w:rPr>
              <w:t xml:space="preserve"> lt. Richtlinie</w:t>
            </w:r>
          </w:p>
          <w:p w:rsidR="00BA3788" w:rsidRDefault="00B83C7A" w:rsidP="00AA3C5A">
            <w:pPr>
              <w:tabs>
                <w:tab w:val="left" w:pos="425"/>
              </w:tabs>
              <w:spacing w:after="120"/>
              <w:ind w:left="425" w:hanging="425"/>
              <w:jc w:val="both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119859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C5A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01E34">
              <w:rPr>
                <w:rFonts w:ascii="Arial" w:hAnsi="Arial" w:cs="Arial"/>
                <w:color w:val="00269B"/>
              </w:rPr>
              <w:tab/>
            </w:r>
            <w:r w:rsidR="008B0398" w:rsidRPr="008B0398">
              <w:rPr>
                <w:rFonts w:ascii="Arial" w:hAnsi="Arial" w:cs="Arial"/>
                <w:bCs/>
                <w:color w:val="00269B"/>
              </w:rPr>
              <w:t>Entwicklung und/oder Erprobung von berufsbegleitend und modularisiert studierbaren (Weiter-)Bildungsangeboten an Hochschulen</w:t>
            </w:r>
            <w:r w:rsidR="008B0398">
              <w:rPr>
                <w:rFonts w:ascii="Arial" w:hAnsi="Arial" w:cs="Arial"/>
                <w:bCs/>
                <w:color w:val="00269B"/>
              </w:rPr>
              <w:t xml:space="preserve"> </w:t>
            </w:r>
            <w:r w:rsidR="008B0398" w:rsidRPr="008B0398">
              <w:rPr>
                <w:rFonts w:ascii="Arial" w:hAnsi="Arial" w:cs="Arial"/>
                <w:bCs/>
                <w:color w:val="00269B"/>
              </w:rPr>
              <w:t>in Verbindung mit Maßnahmen zur Unterstützung des Hochschulzugangs</w:t>
            </w:r>
          </w:p>
          <w:p w:rsidR="008B0398" w:rsidRPr="00701E34" w:rsidRDefault="00B83C7A" w:rsidP="00AA3C5A">
            <w:pPr>
              <w:tabs>
                <w:tab w:val="left" w:pos="425"/>
              </w:tabs>
              <w:spacing w:after="120"/>
              <w:ind w:left="425" w:hanging="425"/>
              <w:rPr>
                <w:rFonts w:ascii="Arial" w:hAnsi="Arial" w:cs="Arial"/>
                <w:bCs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7419152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3C5A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01E34">
              <w:rPr>
                <w:rFonts w:ascii="Arial" w:hAnsi="Arial" w:cs="Arial"/>
                <w:color w:val="00269B"/>
              </w:rPr>
              <w:tab/>
            </w:r>
            <w:r w:rsidR="008B0398" w:rsidRPr="00701E34">
              <w:rPr>
                <w:rFonts w:ascii="Arial" w:hAnsi="Arial" w:cs="Arial"/>
                <w:bCs/>
                <w:color w:val="00269B"/>
              </w:rPr>
              <w:t xml:space="preserve">Entwicklung und/oder Erprobung von berufsbegleitenden Bildungsangeboten der niedersächsischen Erwachsenenbildung zur Unterstützung des Hochschulzugangs sowie des Übergangs vom Beruf in die Hochschule </w:t>
            </w:r>
          </w:p>
        </w:tc>
      </w:tr>
      <w:tr w:rsidR="00BA3788" w:rsidRPr="00F41369" w:rsidTr="00701E34">
        <w:trPr>
          <w:trHeight w:val="155"/>
        </w:trPr>
        <w:tc>
          <w:tcPr>
            <w:tcW w:w="9183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01E34" w:rsidRPr="00F41369" w:rsidTr="00701E34">
        <w:trPr>
          <w:trHeight w:hRule="exact" w:val="181"/>
        </w:trPr>
        <w:tc>
          <w:tcPr>
            <w:tcW w:w="9183" w:type="dxa"/>
            <w:gridSpan w:val="3"/>
            <w:shd w:val="clear" w:color="auto" w:fill="FFFFFF" w:themeFill="background1"/>
          </w:tcPr>
          <w:p w:rsidR="00701E34" w:rsidRPr="007D78D1" w:rsidRDefault="00701E34" w:rsidP="00701E34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F66B14" w:rsidTr="00701E34">
        <w:trPr>
          <w:trHeight w:val="539"/>
        </w:trPr>
        <w:tc>
          <w:tcPr>
            <w:tcW w:w="4230" w:type="dxa"/>
            <w:shd w:val="clear" w:color="auto" w:fill="FFFFFF"/>
          </w:tcPr>
          <w:p w:rsidR="00F66B14" w:rsidRPr="006F36D8" w:rsidRDefault="00F66B14" w:rsidP="00701E34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953" w:type="dxa"/>
            <w:gridSpan w:val="2"/>
            <w:shd w:val="clear" w:color="auto" w:fill="FFFFFF"/>
          </w:tcPr>
          <w:p w:rsidR="00000FB9" w:rsidRPr="00000FB9" w:rsidRDefault="00B83C7A" w:rsidP="00701E34">
            <w:pPr>
              <w:tabs>
                <w:tab w:val="left" w:pos="304"/>
                <w:tab w:val="left" w:pos="1693"/>
                <w:tab w:val="left" w:pos="1977"/>
              </w:tabs>
              <w:spacing w:line="240" w:lineRule="auto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34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01E34" w:rsidRPr="00DB763E">
              <w:rPr>
                <w:rFonts w:ascii="Arial" w:hAnsi="Arial" w:cs="Arial"/>
                <w:color w:val="00269B"/>
              </w:rPr>
              <w:t xml:space="preserve"> </w:t>
            </w:r>
            <w:r w:rsidR="00701E34">
              <w:rPr>
                <w:rFonts w:ascii="Arial" w:hAnsi="Arial" w:cs="Arial"/>
                <w:color w:val="00269B"/>
              </w:rPr>
              <w:t>ÜR</w:t>
            </w:r>
            <w:r w:rsidR="00701E34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E34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701E34" w:rsidRPr="00DB763E">
              <w:rPr>
                <w:rFonts w:ascii="Arial" w:hAnsi="Arial" w:cs="Arial"/>
                <w:color w:val="00269B"/>
              </w:rPr>
              <w:t xml:space="preserve"> </w:t>
            </w:r>
            <w:r w:rsidR="00701E34"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BA3788" w:rsidRPr="00F41369" w:rsidTr="00701E34">
        <w:trPr>
          <w:trHeight w:val="148"/>
        </w:trPr>
        <w:tc>
          <w:tcPr>
            <w:tcW w:w="9183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701E34">
        <w:trPr>
          <w:trHeight w:val="538"/>
        </w:trPr>
        <w:tc>
          <w:tcPr>
            <w:tcW w:w="9183" w:type="dxa"/>
            <w:gridSpan w:val="3"/>
            <w:shd w:val="clear" w:color="auto" w:fill="FFFFFF"/>
          </w:tcPr>
          <w:p w:rsidR="000B4132" w:rsidRPr="00701E34" w:rsidRDefault="00DB763E" w:rsidP="00701E34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701E34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:rsidTr="00701E34">
        <w:trPr>
          <w:trHeight w:val="477"/>
        </w:trPr>
        <w:tc>
          <w:tcPr>
            <w:tcW w:w="9183" w:type="dxa"/>
            <w:gridSpan w:val="3"/>
            <w:shd w:val="clear" w:color="auto" w:fill="D2DDFF"/>
          </w:tcPr>
          <w:p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:rsidR="00EA7E67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:rsidTr="00701E34">
        <w:trPr>
          <w:trHeight w:val="2485"/>
        </w:trPr>
        <w:tc>
          <w:tcPr>
            <w:tcW w:w="9183" w:type="dxa"/>
            <w:gridSpan w:val="3"/>
            <w:shd w:val="clear" w:color="auto" w:fill="FFFFFF" w:themeFill="background1"/>
          </w:tcPr>
          <w:p w:rsidR="00EA7E67" w:rsidRPr="009E229D" w:rsidRDefault="00EA7E67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EA7E67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der Qualitätskriterien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p w:rsidR="005F4361" w:rsidRPr="00ED2930" w:rsidRDefault="005F4361" w:rsidP="00762CBA">
      <w:pPr>
        <w:widowControl w:val="0"/>
        <w:ind w:right="1134"/>
        <w:rPr>
          <w:rFonts w:ascii="Arial" w:hAnsi="Arial" w:cs="Arial"/>
          <w:b/>
          <w:color w:val="00269B"/>
          <w:sz w:val="24"/>
          <w:szCs w:val="24"/>
        </w:rPr>
      </w:pPr>
      <w:r w:rsidRPr="00ED2930">
        <w:rPr>
          <w:rFonts w:ascii="Arial" w:hAnsi="Arial" w:cs="Arial"/>
          <w:b/>
          <w:color w:val="00269B"/>
          <w:sz w:val="24"/>
          <w:szCs w:val="24"/>
        </w:rPr>
        <w:t>Richtlinienspezifische fachliche Kriterien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:rsidR="00FF4ED6" w:rsidRPr="009D623B" w:rsidRDefault="00413243" w:rsidP="00701E34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>Analyse der Au</w:t>
            </w:r>
            <w:r w:rsidR="004B2DCC">
              <w:rPr>
                <w:rFonts w:ascii="Arial" w:hAnsi="Arial" w:cs="Arial"/>
                <w:b/>
                <w:color w:val="00269B"/>
              </w:rPr>
              <w:t xml:space="preserve">sgangslage und </w:t>
            </w:r>
            <w:r w:rsidR="004B2DCC" w:rsidRPr="004B2DCC">
              <w:rPr>
                <w:rFonts w:ascii="Arial" w:hAnsi="Arial" w:cs="Arial"/>
                <w:b/>
                <w:color w:val="00269B"/>
              </w:rPr>
              <w:t xml:space="preserve">Beschreibung der </w:t>
            </w:r>
            <w:r w:rsidR="004B2DCC">
              <w:rPr>
                <w:rFonts w:ascii="Arial" w:hAnsi="Arial" w:cs="Arial"/>
                <w:b/>
                <w:color w:val="00269B"/>
              </w:rPr>
              <w:t>Z</w:t>
            </w:r>
            <w:r w:rsidR="00B429DB" w:rsidRPr="009D623B">
              <w:rPr>
                <w:rFonts w:ascii="Arial" w:hAnsi="Arial" w:cs="Arial"/>
                <w:b/>
                <w:color w:val="00269B"/>
              </w:rPr>
              <w:t xml:space="preserve">iele </w:t>
            </w:r>
            <w:r w:rsidRPr="009D623B">
              <w:rPr>
                <w:rFonts w:ascii="Arial" w:hAnsi="Arial" w:cs="Arial"/>
                <w:b/>
                <w:color w:val="00269B"/>
              </w:rPr>
              <w:t>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>: Gleic</w:t>
            </w:r>
            <w:r w:rsidR="0001129F">
              <w:rPr>
                <w:rFonts w:ascii="Arial" w:hAnsi="Arial" w:cs="Arial"/>
                <w:b/>
                <w:color w:val="00269B"/>
              </w:rPr>
              <w:t>hstellung der Geschlechter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>, Chanceng</w:t>
            </w:r>
            <w:r w:rsidR="00701E34">
              <w:rPr>
                <w:rFonts w:ascii="Arial" w:hAnsi="Arial" w:cs="Arial"/>
                <w:b/>
                <w:color w:val="00269B"/>
              </w:rPr>
              <w:t>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ichheit und Nichtdiskriminierung, </w:t>
            </w:r>
            <w:r w:rsidR="0001129F">
              <w:rPr>
                <w:rFonts w:ascii="Arial" w:hAnsi="Arial" w:cs="Arial"/>
                <w:b/>
                <w:color w:val="00269B"/>
              </w:rPr>
              <w:t>Nachhaltige Entwicklung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 und </w:t>
            </w:r>
            <w:proofErr w:type="spellStart"/>
            <w:r w:rsidR="00762CBA" w:rsidRPr="009D623B">
              <w:rPr>
                <w:rFonts w:ascii="Arial" w:hAnsi="Arial" w:cs="Arial"/>
                <w:b/>
                <w:color w:val="00269B"/>
              </w:rPr>
              <w:t>Gute</w:t>
            </w:r>
            <w:proofErr w:type="spellEnd"/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 Arbeit</w:t>
            </w:r>
            <w:r w:rsidR="0001129F">
              <w:rPr>
                <w:rFonts w:ascii="Arial" w:hAnsi="Arial" w:cs="Arial"/>
                <w:b/>
                <w:color w:val="00269B"/>
              </w:rPr>
              <w:t xml:space="preserve"> </w:t>
            </w:r>
          </w:p>
        </w:tc>
      </w:tr>
      <w:tr w:rsidR="00FF4ED6" w:rsidTr="009D623B">
        <w:tc>
          <w:tcPr>
            <w:tcW w:w="9156" w:type="dxa"/>
            <w:shd w:val="clear" w:color="auto" w:fill="FFFFFF" w:themeFill="background1"/>
          </w:tcPr>
          <w:p w:rsidR="000B4132" w:rsidRPr="000B4132" w:rsidRDefault="0001129F" w:rsidP="000B4132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bookmarkStart w:id="0" w:name="os_autosavelastposition228"/>
            <w:bookmarkEnd w:id="0"/>
            <w:r>
              <w:rPr>
                <w:rFonts w:ascii="Arial" w:hAnsi="Arial" w:cs="Arial"/>
                <w:color w:val="00269B"/>
              </w:rPr>
              <w:t>Bisherige Erfahrungen</w:t>
            </w:r>
            <w:r w:rsidR="009D623B" w:rsidRPr="009D623B">
              <w:rPr>
                <w:rFonts w:ascii="Arial" w:hAnsi="Arial" w:cs="Arial"/>
                <w:color w:val="00269B"/>
              </w:rPr>
              <w:br/>
            </w:r>
          </w:p>
          <w:p w:rsidR="00AB35B3" w:rsidRPr="009B3F39" w:rsidRDefault="0001129F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</w:rPr>
              <w:t>Zielgruppe und Bedarfe</w:t>
            </w:r>
            <w:r w:rsidR="009B3F39" w:rsidRPr="009B3F39">
              <w:rPr>
                <w:rFonts w:ascii="Arial" w:hAnsi="Arial" w:cs="Arial"/>
                <w:color w:val="00269B"/>
              </w:rPr>
              <w:br/>
            </w:r>
          </w:p>
          <w:p w:rsidR="00AB35B3" w:rsidRPr="00AA3C5A" w:rsidRDefault="001F4A12" w:rsidP="0010256C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 w:rsidRPr="001F4A12">
              <w:rPr>
                <w:rFonts w:ascii="Arial" w:hAnsi="Arial" w:cs="Arial"/>
                <w:color w:val="00269B"/>
              </w:rPr>
              <w:t>Bestehende und geplante Angebote und Strukturen</w:t>
            </w:r>
            <w:r w:rsidR="009B3F39" w:rsidRPr="0010256C">
              <w:rPr>
                <w:rFonts w:ascii="Arial" w:hAnsi="Arial" w:cs="Arial"/>
                <w:color w:val="00269B"/>
              </w:rPr>
              <w:br/>
            </w:r>
          </w:p>
          <w:p w:rsidR="00AA3C5A" w:rsidRPr="00AA3C5A" w:rsidRDefault="00AA3C5A" w:rsidP="00AA3C5A">
            <w:pPr>
              <w:tabs>
                <w:tab w:val="left" w:pos="455"/>
              </w:tabs>
              <w:rPr>
                <w:rFonts w:ascii="Arial" w:hAnsi="Arial" w:cs="Arial"/>
                <w:color w:val="00269B"/>
              </w:rPr>
            </w:pPr>
          </w:p>
        </w:tc>
      </w:tr>
      <w:tr w:rsidR="00FF4ED6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:rsidR="00FF4ED6" w:rsidRPr="00B42F4B" w:rsidRDefault="006237B7" w:rsidP="00701E34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: </w:t>
            </w:r>
            <w:r w:rsidR="001F4A12" w:rsidRPr="001F4A12">
              <w:rPr>
                <w:rFonts w:ascii="Arial" w:hAnsi="Arial" w:cs="Arial"/>
                <w:b/>
                <w:color w:val="00269B"/>
              </w:rPr>
              <w:t>Gleichstellung der Geschlechter, Chancengleichheit und Nichtdiskriminierung, Nachhalt</w:t>
            </w:r>
            <w:r w:rsidR="001F4A12">
              <w:rPr>
                <w:rFonts w:ascii="Arial" w:hAnsi="Arial" w:cs="Arial"/>
                <w:b/>
                <w:color w:val="00269B"/>
              </w:rPr>
              <w:t xml:space="preserve">ige Entwicklung und </w:t>
            </w:r>
            <w:proofErr w:type="spellStart"/>
            <w:r w:rsidR="001F4A12">
              <w:rPr>
                <w:rFonts w:ascii="Arial" w:hAnsi="Arial" w:cs="Arial"/>
                <w:b/>
                <w:color w:val="00269B"/>
              </w:rPr>
              <w:t>Gute</w:t>
            </w:r>
            <w:proofErr w:type="spellEnd"/>
            <w:r w:rsidR="001F4A12">
              <w:rPr>
                <w:rFonts w:ascii="Arial" w:hAnsi="Arial" w:cs="Arial"/>
                <w:b/>
                <w:color w:val="00269B"/>
              </w:rPr>
              <w:t xml:space="preserve"> Arbeit</w:t>
            </w:r>
          </w:p>
        </w:tc>
      </w:tr>
      <w:tr w:rsidR="00B42F4B" w:rsidTr="009D623B">
        <w:tc>
          <w:tcPr>
            <w:tcW w:w="9156" w:type="dxa"/>
            <w:shd w:val="clear" w:color="auto" w:fill="FFFFFF" w:themeFill="background1"/>
          </w:tcPr>
          <w:p w:rsidR="00656C03" w:rsidRPr="00701E34" w:rsidRDefault="00656C03" w:rsidP="00701E34">
            <w:pPr>
              <w:pStyle w:val="Listenabsatz"/>
              <w:numPr>
                <w:ilvl w:val="1"/>
                <w:numId w:val="48"/>
              </w:numPr>
              <w:tabs>
                <w:tab w:val="left" w:pos="42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 w:rsidRPr="00656C03">
              <w:rPr>
                <w:rFonts w:ascii="Arial" w:hAnsi="Arial" w:cs="Arial"/>
                <w:color w:val="00269B"/>
              </w:rPr>
              <w:t>Beschreibung und Bes</w:t>
            </w:r>
            <w:r>
              <w:rPr>
                <w:rFonts w:ascii="Arial" w:hAnsi="Arial" w:cs="Arial"/>
                <w:color w:val="00269B"/>
              </w:rPr>
              <w:t>onderheit der Bildungskonzeption</w:t>
            </w:r>
            <w:r w:rsidR="00701E34">
              <w:rPr>
                <w:rFonts w:ascii="Arial" w:hAnsi="Arial" w:cs="Arial"/>
                <w:color w:val="00269B"/>
              </w:rPr>
              <w:br/>
            </w:r>
          </w:p>
          <w:p w:rsidR="00656C03" w:rsidRPr="00701E34" w:rsidRDefault="00656C03" w:rsidP="00701E34">
            <w:pPr>
              <w:pStyle w:val="Listenabsatz"/>
              <w:numPr>
                <w:ilvl w:val="1"/>
                <w:numId w:val="48"/>
              </w:numPr>
              <w:tabs>
                <w:tab w:val="left" w:pos="42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 w:rsidRPr="00701E34">
              <w:rPr>
                <w:rFonts w:ascii="Arial" w:hAnsi="Arial" w:cs="Arial"/>
                <w:color w:val="00269B"/>
              </w:rPr>
              <w:t>Das Vorhaben ist ein Kooperationsprojekt zwischen Hochschule und Erwachsenenbildungseinrichtung</w:t>
            </w:r>
            <w:r w:rsidR="00701E34" w:rsidRPr="00701E34">
              <w:rPr>
                <w:rFonts w:ascii="Arial" w:hAnsi="Arial" w:cs="Arial"/>
                <w:color w:val="00269B"/>
              </w:rPr>
              <w:br/>
            </w:r>
          </w:p>
          <w:p w:rsidR="00656C03" w:rsidRPr="00701E34" w:rsidRDefault="00656C03" w:rsidP="00701E34">
            <w:pPr>
              <w:pStyle w:val="Listenabsatz"/>
              <w:numPr>
                <w:ilvl w:val="1"/>
                <w:numId w:val="48"/>
              </w:numPr>
              <w:tabs>
                <w:tab w:val="left" w:pos="42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 w:rsidRPr="00656C03">
              <w:rPr>
                <w:rFonts w:ascii="Arial" w:hAnsi="Arial" w:cs="Arial"/>
                <w:color w:val="00269B"/>
              </w:rPr>
              <w:t>Netzwerk und Kooperationspartner</w:t>
            </w:r>
            <w:r w:rsidR="00701E34">
              <w:rPr>
                <w:rFonts w:ascii="Arial" w:hAnsi="Arial" w:cs="Arial"/>
                <w:color w:val="00269B"/>
              </w:rPr>
              <w:br/>
            </w:r>
          </w:p>
          <w:p w:rsidR="00656C03" w:rsidRPr="00701E34" w:rsidRDefault="00656C03" w:rsidP="00701E34">
            <w:pPr>
              <w:pStyle w:val="Listenabsatz"/>
              <w:numPr>
                <w:ilvl w:val="1"/>
                <w:numId w:val="48"/>
              </w:numPr>
              <w:tabs>
                <w:tab w:val="left" w:pos="42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 w:rsidRPr="00656C03">
              <w:rPr>
                <w:rFonts w:ascii="Arial" w:hAnsi="Arial" w:cs="Arial"/>
                <w:color w:val="00269B"/>
              </w:rPr>
              <w:t>Verstetigung (Nachhaltigkeitskonzept)</w:t>
            </w:r>
            <w:r w:rsidR="00701E34">
              <w:rPr>
                <w:rFonts w:ascii="Arial" w:hAnsi="Arial" w:cs="Arial"/>
                <w:color w:val="00269B"/>
              </w:rPr>
              <w:br/>
            </w:r>
          </w:p>
          <w:p w:rsidR="00AA3C5A" w:rsidRPr="00AA3C5A" w:rsidRDefault="00656C03" w:rsidP="00AA3C5A">
            <w:pPr>
              <w:pStyle w:val="Listenabsatz"/>
              <w:numPr>
                <w:ilvl w:val="1"/>
                <w:numId w:val="48"/>
              </w:numPr>
              <w:tabs>
                <w:tab w:val="left" w:pos="425"/>
              </w:tabs>
              <w:ind w:left="425" w:hanging="425"/>
              <w:contextualSpacing w:val="0"/>
              <w:rPr>
                <w:rFonts w:ascii="Arial" w:hAnsi="Arial" w:cs="Arial"/>
              </w:rPr>
            </w:pPr>
            <w:r w:rsidRPr="00656C03">
              <w:rPr>
                <w:rFonts w:ascii="Arial" w:hAnsi="Arial" w:cs="Arial"/>
                <w:color w:val="00269B"/>
              </w:rPr>
              <w:t>Die Ausgaben sind im Verhältnis zur Durchführung und Zielsetzung des Projekts angemessen</w:t>
            </w:r>
            <w:r w:rsidR="00701E34" w:rsidRPr="00AA3C5A">
              <w:rPr>
                <w:rFonts w:ascii="Arial" w:hAnsi="Arial" w:cs="Arial"/>
              </w:rPr>
              <w:br/>
            </w:r>
          </w:p>
          <w:p w:rsidR="00AA3C5A" w:rsidRPr="00AA3C5A" w:rsidRDefault="00AA3C5A" w:rsidP="00AA3C5A">
            <w:pPr>
              <w:tabs>
                <w:tab w:val="left" w:pos="425"/>
              </w:tabs>
              <w:rPr>
                <w:rFonts w:ascii="Arial" w:hAnsi="Arial" w:cs="Arial"/>
                <w:color w:val="00269B"/>
              </w:rPr>
            </w:pPr>
          </w:p>
        </w:tc>
      </w:tr>
    </w:tbl>
    <w:p w:rsidR="00B12806" w:rsidRDefault="00B12806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color w:val="00269B"/>
        </w:rPr>
        <w:br w:type="page"/>
      </w: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0C27B0" w:rsidRPr="00E446E2" w:rsidTr="00646165">
        <w:trPr>
          <w:trHeight w:val="454"/>
        </w:trPr>
        <w:tc>
          <w:tcPr>
            <w:tcW w:w="9085" w:type="dxa"/>
            <w:shd w:val="clear" w:color="auto" w:fill="D2DDFF"/>
          </w:tcPr>
          <w:p w:rsidR="000C27B0" w:rsidRPr="00E446E2" w:rsidRDefault="000C27B0" w:rsidP="00646165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>
              <w:rPr>
                <w:b/>
                <w:bCs/>
                <w:color w:val="00269B"/>
              </w:rPr>
              <w:lastRenderedPageBreak/>
              <w:t>Checkliste Antragsunterlagen</w:t>
            </w:r>
          </w:p>
        </w:tc>
      </w:tr>
      <w:tr w:rsidR="000C27B0" w:rsidRPr="00E815AD" w:rsidTr="00646165">
        <w:tc>
          <w:tcPr>
            <w:tcW w:w="9085" w:type="dxa"/>
          </w:tcPr>
          <w:p w:rsidR="000C27B0" w:rsidRPr="0062211A" w:rsidRDefault="000C27B0" w:rsidP="0062211A">
            <w:pPr>
              <w:pStyle w:val="Listenabsatz"/>
              <w:ind w:left="0"/>
              <w:rPr>
                <w:rFonts w:ascii="Arial" w:hAnsi="Arial" w:cs="Arial"/>
                <w:bCs/>
                <w:color w:val="00269B"/>
              </w:rPr>
            </w:pPr>
          </w:p>
          <w:p w:rsidR="000C27B0" w:rsidRDefault="000C27B0" w:rsidP="0062211A">
            <w:pPr>
              <w:pStyle w:val="Listenabsatz"/>
              <w:ind w:left="0"/>
              <w:rPr>
                <w:rFonts w:ascii="Arial" w:hAnsi="Arial" w:cs="Arial"/>
                <w:b/>
                <w:bCs/>
                <w:color w:val="00269B"/>
              </w:rPr>
            </w:pPr>
            <w:r w:rsidRPr="0085718C">
              <w:rPr>
                <w:rFonts w:ascii="Arial" w:hAnsi="Arial" w:cs="Arial"/>
                <w:b/>
                <w:bCs/>
                <w:color w:val="00269B"/>
              </w:rPr>
              <w:t xml:space="preserve">Von der </w:t>
            </w:r>
            <w:proofErr w:type="spellStart"/>
            <w:r w:rsidRPr="0085718C">
              <w:rPr>
                <w:rFonts w:ascii="Arial" w:hAnsi="Arial" w:cs="Arial"/>
                <w:b/>
                <w:bCs/>
                <w:color w:val="00269B"/>
              </w:rPr>
              <w:t>NBank</w:t>
            </w:r>
            <w:proofErr w:type="spellEnd"/>
            <w:r w:rsidRPr="0085718C">
              <w:rPr>
                <w:rFonts w:ascii="Arial" w:hAnsi="Arial" w:cs="Arial"/>
                <w:b/>
                <w:bCs/>
                <w:color w:val="00269B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9B"/>
              </w:rPr>
              <w:t xml:space="preserve">im Kundenportal </w:t>
            </w:r>
            <w:r w:rsidR="007321CF">
              <w:rPr>
                <w:rFonts w:ascii="Arial" w:hAnsi="Arial" w:cs="Arial"/>
                <w:b/>
                <w:bCs/>
                <w:color w:val="00269B"/>
              </w:rPr>
              <w:t>/</w:t>
            </w:r>
            <w:r w:rsidR="00B83C7A">
              <w:rPr>
                <w:rFonts w:ascii="Arial" w:hAnsi="Arial" w:cs="Arial"/>
                <w:b/>
                <w:bCs/>
                <w:color w:val="00269B"/>
              </w:rPr>
              <w:t xml:space="preserve"> </w:t>
            </w:r>
            <w:bookmarkStart w:id="1" w:name="_GoBack"/>
            <w:bookmarkEnd w:id="1"/>
            <w:r w:rsidR="007321CF">
              <w:rPr>
                <w:rFonts w:ascii="Arial" w:hAnsi="Arial" w:cs="Arial"/>
                <w:b/>
                <w:bCs/>
                <w:color w:val="00269B"/>
              </w:rPr>
              <w:t xml:space="preserve">auf der Homepage </w:t>
            </w:r>
            <w:r w:rsidRPr="0085718C">
              <w:rPr>
                <w:rFonts w:ascii="Arial" w:hAnsi="Arial" w:cs="Arial"/>
                <w:b/>
                <w:bCs/>
                <w:color w:val="00269B"/>
              </w:rPr>
              <w:t>bereitgestellte Dokumente</w:t>
            </w:r>
          </w:p>
          <w:p w:rsidR="000C27B0" w:rsidRPr="0085718C" w:rsidRDefault="000C27B0" w:rsidP="0062211A">
            <w:pPr>
              <w:pStyle w:val="Listenabsatz"/>
              <w:spacing w:line="240" w:lineRule="auto"/>
              <w:ind w:left="0"/>
              <w:rPr>
                <w:rFonts w:ascii="Arial" w:hAnsi="Arial" w:cs="Arial"/>
                <w:color w:val="00269B"/>
              </w:rPr>
            </w:pPr>
          </w:p>
          <w:p w:rsidR="000C27B0" w:rsidRPr="0085718C" w:rsidRDefault="000C27B0" w:rsidP="0062211A">
            <w:pPr>
              <w:pStyle w:val="Listenabsatz"/>
              <w:numPr>
                <w:ilvl w:val="0"/>
                <w:numId w:val="3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Antragsformular </w:t>
            </w:r>
          </w:p>
          <w:p w:rsidR="000C27B0" w:rsidRPr="0085718C" w:rsidRDefault="000C27B0" w:rsidP="0062211A">
            <w:pPr>
              <w:pStyle w:val="Listenabsatz"/>
              <w:numPr>
                <w:ilvl w:val="0"/>
                <w:numId w:val="3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 w:rsidRPr="0085718C">
              <w:rPr>
                <w:rFonts w:ascii="Arial" w:hAnsi="Arial" w:cs="Arial"/>
                <w:color w:val="00269B"/>
              </w:rPr>
              <w:t xml:space="preserve">Projektbeschreibung </w:t>
            </w:r>
          </w:p>
          <w:p w:rsidR="000C27B0" w:rsidRDefault="000C27B0" w:rsidP="0062211A">
            <w:pPr>
              <w:pStyle w:val="Listenabsatz"/>
              <w:numPr>
                <w:ilvl w:val="0"/>
                <w:numId w:val="3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 w:rsidRPr="0085718C">
              <w:rPr>
                <w:rFonts w:ascii="Arial" w:hAnsi="Arial" w:cs="Arial"/>
                <w:color w:val="00269B"/>
              </w:rPr>
              <w:t xml:space="preserve">Tätigkeitsbeschreibung(en) des eingesetzten Personals </w:t>
            </w:r>
          </w:p>
          <w:p w:rsidR="000C27B0" w:rsidRDefault="000C27B0" w:rsidP="0062211A">
            <w:pPr>
              <w:pStyle w:val="Listenabsatz"/>
              <w:numPr>
                <w:ilvl w:val="0"/>
                <w:numId w:val="3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Übersicht Projektpersonal </w:t>
            </w:r>
          </w:p>
          <w:p w:rsidR="000C27B0" w:rsidRDefault="000C27B0" w:rsidP="0062211A">
            <w:pPr>
              <w:pStyle w:val="Listenabsatz"/>
              <w:numPr>
                <w:ilvl w:val="0"/>
                <w:numId w:val="3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Anweisung zum Personaleinsatz </w:t>
            </w:r>
          </w:p>
          <w:p w:rsidR="00DC2D83" w:rsidRDefault="00DC2D83" w:rsidP="0062211A">
            <w:pPr>
              <w:pStyle w:val="Listenabsatz"/>
              <w:numPr>
                <w:ilvl w:val="0"/>
                <w:numId w:val="3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Erklärung Grundrechtecharta der EU</w:t>
            </w:r>
          </w:p>
          <w:p w:rsidR="000C27B0" w:rsidRPr="007A0B3E" w:rsidRDefault="00DC2D83" w:rsidP="0062211A">
            <w:pPr>
              <w:pStyle w:val="Listenabsatz"/>
              <w:numPr>
                <w:ilvl w:val="0"/>
                <w:numId w:val="3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Erklärun</w:t>
            </w:r>
            <w:r w:rsidR="00660404">
              <w:rPr>
                <w:rFonts w:ascii="Arial" w:hAnsi="Arial" w:cs="Arial"/>
                <w:color w:val="00269B"/>
              </w:rPr>
              <w:t>g zur elektronischen Belegarchivierung</w:t>
            </w:r>
          </w:p>
          <w:p w:rsidR="000C27B0" w:rsidRDefault="000C27B0" w:rsidP="0062211A">
            <w:pPr>
              <w:pStyle w:val="Listenabsatz"/>
              <w:ind w:left="0"/>
              <w:rPr>
                <w:rFonts w:ascii="Arial" w:hAnsi="Arial" w:cs="Arial"/>
                <w:color w:val="00269B"/>
              </w:rPr>
            </w:pPr>
          </w:p>
          <w:p w:rsidR="000C27B0" w:rsidRDefault="000C27B0" w:rsidP="0062211A">
            <w:pPr>
              <w:pStyle w:val="Listenabsatz"/>
              <w:ind w:left="0"/>
              <w:rPr>
                <w:rFonts w:ascii="Arial" w:hAnsi="Arial" w:cs="Arial"/>
                <w:b/>
                <w:bCs/>
                <w:color w:val="00269B"/>
              </w:rPr>
            </w:pPr>
            <w:r w:rsidRPr="0085718C">
              <w:rPr>
                <w:rFonts w:ascii="Arial" w:hAnsi="Arial" w:cs="Arial"/>
                <w:b/>
                <w:bCs/>
                <w:color w:val="00269B"/>
              </w:rPr>
              <w:t>Zusätzlich benötigte Dokumente</w:t>
            </w:r>
          </w:p>
          <w:p w:rsidR="000C27B0" w:rsidRPr="0085718C" w:rsidRDefault="000C27B0" w:rsidP="0062211A">
            <w:pPr>
              <w:pStyle w:val="Listenabsatz"/>
              <w:ind w:left="0"/>
              <w:rPr>
                <w:rFonts w:ascii="Arial" w:hAnsi="Arial" w:cs="Arial"/>
                <w:color w:val="00269B"/>
              </w:rPr>
            </w:pPr>
          </w:p>
          <w:p w:rsidR="000C27B0" w:rsidRDefault="000C27B0" w:rsidP="0062211A">
            <w:pPr>
              <w:pStyle w:val="Listenabsatz"/>
              <w:numPr>
                <w:ilvl w:val="0"/>
                <w:numId w:val="32"/>
              </w:numPr>
              <w:tabs>
                <w:tab w:val="left" w:pos="425"/>
              </w:tabs>
              <w:spacing w:line="240" w:lineRule="auto"/>
              <w:ind w:left="425" w:hanging="425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Vernetzungsplan (intern/extern)</w:t>
            </w:r>
          </w:p>
          <w:p w:rsidR="000C27B0" w:rsidRPr="0085718C" w:rsidRDefault="000C27B0" w:rsidP="0062211A">
            <w:pPr>
              <w:pStyle w:val="Listenabsatz"/>
              <w:numPr>
                <w:ilvl w:val="0"/>
                <w:numId w:val="32"/>
              </w:numPr>
              <w:tabs>
                <w:tab w:val="left" w:pos="425"/>
              </w:tabs>
              <w:spacing w:line="240" w:lineRule="auto"/>
              <w:ind w:left="425" w:hanging="425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ggf. </w:t>
            </w:r>
            <w:proofErr w:type="spellStart"/>
            <w:r w:rsidRPr="0085718C">
              <w:rPr>
                <w:rFonts w:ascii="Arial" w:hAnsi="Arial" w:cs="Arial"/>
                <w:color w:val="00269B"/>
              </w:rPr>
              <w:t>Kofinanzierungsbestätigung</w:t>
            </w:r>
            <w:proofErr w:type="spellEnd"/>
            <w:r w:rsidRPr="0085718C">
              <w:rPr>
                <w:rFonts w:ascii="Arial" w:hAnsi="Arial" w:cs="Arial"/>
                <w:color w:val="00269B"/>
              </w:rPr>
              <w:t>(en)</w:t>
            </w:r>
          </w:p>
          <w:p w:rsidR="000C27B0" w:rsidRDefault="000C27B0" w:rsidP="0062211A">
            <w:pPr>
              <w:pStyle w:val="Listenabsatz"/>
              <w:numPr>
                <w:ilvl w:val="0"/>
                <w:numId w:val="32"/>
              </w:numPr>
              <w:tabs>
                <w:tab w:val="left" w:pos="425"/>
              </w:tabs>
              <w:spacing w:line="240" w:lineRule="auto"/>
              <w:ind w:left="425" w:hanging="425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ggf. </w:t>
            </w:r>
            <w:r w:rsidRPr="0085718C">
              <w:rPr>
                <w:rFonts w:ascii="Arial" w:hAnsi="Arial" w:cs="Arial"/>
                <w:color w:val="00269B"/>
              </w:rPr>
              <w:t>vorbereitete Kooperationsverträge</w:t>
            </w:r>
          </w:p>
          <w:p w:rsidR="000C27B0" w:rsidRPr="0062211A" w:rsidRDefault="000C27B0" w:rsidP="00E70791">
            <w:pPr>
              <w:pStyle w:val="Listenabsatz"/>
              <w:numPr>
                <w:ilvl w:val="0"/>
                <w:numId w:val="32"/>
              </w:numPr>
              <w:tabs>
                <w:tab w:val="left" w:pos="425"/>
              </w:tabs>
              <w:spacing w:line="240" w:lineRule="auto"/>
              <w:ind w:left="425" w:hanging="425"/>
              <w:contextualSpacing w:val="0"/>
              <w:rPr>
                <w:rFonts w:ascii="Arial" w:hAnsi="Arial" w:cs="Arial"/>
                <w:color w:val="00269B"/>
              </w:rPr>
            </w:pPr>
            <w:r w:rsidRPr="0062211A">
              <w:rPr>
                <w:rFonts w:ascii="Arial" w:hAnsi="Arial" w:cs="Arial"/>
                <w:color w:val="00269B"/>
              </w:rPr>
              <w:t>beim Einsatz von bereits vorhandenem Personal: Qualifikationsnachweise, Gehaltsnachweise und Arbeitsverträge</w:t>
            </w:r>
          </w:p>
          <w:p w:rsidR="000B4132" w:rsidRPr="0062211A" w:rsidRDefault="000C27B0" w:rsidP="000B4132">
            <w:pPr>
              <w:pStyle w:val="Listenabsatz"/>
              <w:numPr>
                <w:ilvl w:val="0"/>
                <w:numId w:val="3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ggf. vorbereitete(r) Vergabevermerk(e)</w:t>
            </w:r>
          </w:p>
        </w:tc>
      </w:tr>
    </w:tbl>
    <w:p w:rsidR="000C27B0" w:rsidRPr="0062211A" w:rsidRDefault="000C27B0" w:rsidP="006A4424">
      <w:pPr>
        <w:pStyle w:val="Default"/>
        <w:tabs>
          <w:tab w:val="left" w:pos="567"/>
        </w:tabs>
        <w:ind w:left="567" w:hanging="567"/>
        <w:rPr>
          <w:color w:val="00269B"/>
          <w:sz w:val="22"/>
          <w:szCs w:val="22"/>
        </w:rPr>
      </w:pPr>
    </w:p>
    <w:sectPr w:rsidR="000C27B0" w:rsidRPr="0062211A" w:rsidSect="00C660B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9B" w:rsidRDefault="00C1029B">
      <w:r>
        <w:separator/>
      </w:r>
    </w:p>
  </w:endnote>
  <w:endnote w:type="continuationSeparator" w:id="0">
    <w:p w:rsidR="00C1029B" w:rsidRDefault="00C1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530C3D" wp14:editId="6A09343C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701E3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Öffnung von Hochschulen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701E3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13.03.2023</w:t>
                          </w:r>
                        </w:p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0C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Q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" stroked="f">
              <v:textbox style="layout-flow:vertical;mso-layout-flow-alt:bottom-to-top">
                <w:txbxContent>
                  <w:p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701E34">
                      <w:rPr>
                        <w:rFonts w:ascii="Arial" w:hAnsi="Arial"/>
                        <w:color w:val="000080"/>
                        <w:sz w:val="12"/>
                      </w:rPr>
                      <w:t>Öffnung von Hochschulen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701E34">
                      <w:rPr>
                        <w:rFonts w:ascii="Arial" w:hAnsi="Arial"/>
                        <w:color w:val="000080"/>
                        <w:sz w:val="12"/>
                      </w:rPr>
                      <w:t>13.03.2023</w:t>
                    </w:r>
                  </w:p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</w:t>
    </w:r>
    <w:r w:rsidR="00701E34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701E34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B83C7A">
      <w:rPr>
        <w:rFonts w:ascii="Arial" w:hAnsi="Arial" w:cs="Arial"/>
        <w:bCs/>
        <w:noProof/>
        <w:sz w:val="16"/>
        <w:szCs w:val="16"/>
      </w:rPr>
      <w:t>3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B83C7A">
      <w:rPr>
        <w:rFonts w:ascii="Arial" w:hAnsi="Arial" w:cs="Arial"/>
        <w:bCs/>
        <w:noProof/>
        <w:sz w:val="16"/>
        <w:szCs w:val="16"/>
      </w:rPr>
      <w:t>3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701E3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Öffnung von Hochschulen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>Stand: 1</w:t>
                          </w:r>
                          <w:r w:rsidR="00701E3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701E3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3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</w:t>
                          </w:r>
                          <w:r w:rsidR="00701E34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3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" stroked="f">
              <v:textbox style="layout-flow:vertical;mso-layout-flow-alt:bottom-to-top">
                <w:txbxContent>
                  <w:p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701E34">
                      <w:rPr>
                        <w:rFonts w:ascii="Arial" w:hAnsi="Arial"/>
                        <w:color w:val="000080"/>
                        <w:sz w:val="12"/>
                      </w:rPr>
                      <w:t>Öffnung von Hochschulen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>Stand: 1</w:t>
                    </w:r>
                    <w:r w:rsidR="00701E34">
                      <w:rPr>
                        <w:rFonts w:ascii="Arial" w:hAnsi="Arial"/>
                        <w:color w:val="000080"/>
                        <w:sz w:val="12"/>
                      </w:rPr>
                      <w:t>3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701E34">
                      <w:rPr>
                        <w:rFonts w:ascii="Arial" w:hAnsi="Arial"/>
                        <w:color w:val="000080"/>
                        <w:sz w:val="12"/>
                      </w:rPr>
                      <w:t>3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</w:t>
                    </w:r>
                    <w:r w:rsidR="00701E34">
                      <w:rPr>
                        <w:rFonts w:ascii="Arial" w:hAnsi="Arial"/>
                        <w:color w:val="000080"/>
                        <w:sz w:val="12"/>
                      </w:rPr>
                      <w:t>3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</w:t>
    </w:r>
    <w:r w:rsidR="00701E34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701E34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9B" w:rsidRDefault="00C1029B"/>
  </w:footnote>
  <w:footnote w:type="continuationSeparator" w:id="0">
    <w:p w:rsidR="00C1029B" w:rsidRDefault="00C1029B"/>
  </w:footnote>
  <w:footnote w:type="continuationNotice" w:id="1">
    <w:p w:rsidR="00C1029B" w:rsidRDefault="00C10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793379E8" wp14:editId="46D8B79D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AE6D471" wp14:editId="3470F56D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4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19B093D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3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6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99F5A57"/>
    <w:multiLevelType w:val="multilevel"/>
    <w:tmpl w:val="E00CD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269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269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269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</w:rPr>
    </w:lvl>
  </w:abstractNum>
  <w:abstractNum w:abstractNumId="18" w15:restartNumberingAfterBreak="0">
    <w:nsid w:val="3BED3DDA"/>
    <w:multiLevelType w:val="hybridMultilevel"/>
    <w:tmpl w:val="2DCAF8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9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9DA5006"/>
    <w:multiLevelType w:val="multilevel"/>
    <w:tmpl w:val="E00CD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269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269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269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</w:rPr>
    </w:lvl>
  </w:abstractNum>
  <w:abstractNum w:abstractNumId="31" w15:restartNumberingAfterBreak="0">
    <w:nsid w:val="5B580428"/>
    <w:multiLevelType w:val="multilevel"/>
    <w:tmpl w:val="89C84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96735D"/>
    <w:multiLevelType w:val="multilevel"/>
    <w:tmpl w:val="E00CD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269B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269B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269B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</w:rPr>
    </w:lvl>
  </w:abstractNum>
  <w:abstractNum w:abstractNumId="33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2E3501"/>
    <w:multiLevelType w:val="multilevel"/>
    <w:tmpl w:val="89C84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6650C6E"/>
    <w:multiLevelType w:val="hybridMultilevel"/>
    <w:tmpl w:val="14DCBB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A7EC4"/>
    <w:multiLevelType w:val="multilevel"/>
    <w:tmpl w:val="169EFD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36"/>
  </w:num>
  <w:num w:numId="4">
    <w:abstractNumId w:val="1"/>
  </w:num>
  <w:num w:numId="5">
    <w:abstractNumId w:val="47"/>
  </w:num>
  <w:num w:numId="6">
    <w:abstractNumId w:val="11"/>
  </w:num>
  <w:num w:numId="7">
    <w:abstractNumId w:val="46"/>
  </w:num>
  <w:num w:numId="8">
    <w:abstractNumId w:val="12"/>
  </w:num>
  <w:num w:numId="9">
    <w:abstractNumId w:val="40"/>
  </w:num>
  <w:num w:numId="10">
    <w:abstractNumId w:val="27"/>
  </w:num>
  <w:num w:numId="11">
    <w:abstractNumId w:val="16"/>
  </w:num>
  <w:num w:numId="12">
    <w:abstractNumId w:val="41"/>
  </w:num>
  <w:num w:numId="13">
    <w:abstractNumId w:val="19"/>
  </w:num>
  <w:num w:numId="14">
    <w:abstractNumId w:val="7"/>
  </w:num>
  <w:num w:numId="15">
    <w:abstractNumId w:val="10"/>
  </w:num>
  <w:num w:numId="16">
    <w:abstractNumId w:val="44"/>
  </w:num>
  <w:num w:numId="17">
    <w:abstractNumId w:val="35"/>
  </w:num>
  <w:num w:numId="18">
    <w:abstractNumId w:val="15"/>
  </w:num>
  <w:num w:numId="19">
    <w:abstractNumId w:val="29"/>
  </w:num>
  <w:num w:numId="20">
    <w:abstractNumId w:val="4"/>
  </w:num>
  <w:num w:numId="21">
    <w:abstractNumId w:val="6"/>
  </w:num>
  <w:num w:numId="22">
    <w:abstractNumId w:val="20"/>
  </w:num>
  <w:num w:numId="23">
    <w:abstractNumId w:val="3"/>
  </w:num>
  <w:num w:numId="24">
    <w:abstractNumId w:val="9"/>
  </w:num>
  <w:num w:numId="25">
    <w:abstractNumId w:val="13"/>
  </w:num>
  <w:num w:numId="26">
    <w:abstractNumId w:val="8"/>
  </w:num>
  <w:num w:numId="27">
    <w:abstractNumId w:val="28"/>
  </w:num>
  <w:num w:numId="28">
    <w:abstractNumId w:val="22"/>
  </w:num>
  <w:num w:numId="29">
    <w:abstractNumId w:val="26"/>
  </w:num>
  <w:num w:numId="30">
    <w:abstractNumId w:val="24"/>
  </w:num>
  <w:num w:numId="31">
    <w:abstractNumId w:val="21"/>
  </w:num>
  <w:num w:numId="32">
    <w:abstractNumId w:val="2"/>
  </w:num>
  <w:num w:numId="33">
    <w:abstractNumId w:val="5"/>
  </w:num>
  <w:num w:numId="34">
    <w:abstractNumId w:val="42"/>
  </w:num>
  <w:num w:numId="35">
    <w:abstractNumId w:val="23"/>
  </w:num>
  <w:num w:numId="36">
    <w:abstractNumId w:val="43"/>
  </w:num>
  <w:num w:numId="37">
    <w:abstractNumId w:val="33"/>
  </w:num>
  <w:num w:numId="38">
    <w:abstractNumId w:val="39"/>
  </w:num>
  <w:num w:numId="39">
    <w:abstractNumId w:val="45"/>
  </w:num>
  <w:num w:numId="40">
    <w:abstractNumId w:val="0"/>
  </w:num>
  <w:num w:numId="41">
    <w:abstractNumId w:val="31"/>
  </w:num>
  <w:num w:numId="42">
    <w:abstractNumId w:val="34"/>
  </w:num>
  <w:num w:numId="43">
    <w:abstractNumId w:val="37"/>
  </w:num>
  <w:num w:numId="44">
    <w:abstractNumId w:val="18"/>
  </w:num>
  <w:num w:numId="45">
    <w:abstractNumId w:val="17"/>
  </w:num>
  <w:num w:numId="46">
    <w:abstractNumId w:val="30"/>
  </w:num>
  <w:num w:numId="47">
    <w:abstractNumId w:val="32"/>
  </w:num>
  <w:num w:numId="48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0FB9"/>
    <w:rsid w:val="000012E1"/>
    <w:rsid w:val="00004579"/>
    <w:rsid w:val="00006588"/>
    <w:rsid w:val="000075AB"/>
    <w:rsid w:val="000102C1"/>
    <w:rsid w:val="0001129F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132"/>
    <w:rsid w:val="000B4622"/>
    <w:rsid w:val="000B5AD1"/>
    <w:rsid w:val="000B62B7"/>
    <w:rsid w:val="000B6A01"/>
    <w:rsid w:val="000C00CA"/>
    <w:rsid w:val="000C1DCF"/>
    <w:rsid w:val="000C27B0"/>
    <w:rsid w:val="000C30EE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114"/>
    <w:rsid w:val="000F7513"/>
    <w:rsid w:val="001000EE"/>
    <w:rsid w:val="00101291"/>
    <w:rsid w:val="0010256C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18D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4F7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4A12"/>
    <w:rsid w:val="001F6137"/>
    <w:rsid w:val="001F62A8"/>
    <w:rsid w:val="002015DB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32F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37C1E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96507"/>
    <w:rsid w:val="00397D76"/>
    <w:rsid w:val="003A1321"/>
    <w:rsid w:val="003A31B0"/>
    <w:rsid w:val="003A46C9"/>
    <w:rsid w:val="003A48F1"/>
    <w:rsid w:val="003B1A77"/>
    <w:rsid w:val="003B567B"/>
    <w:rsid w:val="003B660A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4661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86CED"/>
    <w:rsid w:val="004918F8"/>
    <w:rsid w:val="0049478B"/>
    <w:rsid w:val="00495AF1"/>
    <w:rsid w:val="004A5B00"/>
    <w:rsid w:val="004A5B44"/>
    <w:rsid w:val="004B1FAF"/>
    <w:rsid w:val="004B2DC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55288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7E5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69AE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211A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C03"/>
    <w:rsid w:val="00656E55"/>
    <w:rsid w:val="00657FF4"/>
    <w:rsid w:val="0066040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E6D5A"/>
    <w:rsid w:val="006F23FB"/>
    <w:rsid w:val="006F57D4"/>
    <w:rsid w:val="00701E3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1CF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6CA4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0B3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E5EF9"/>
    <w:rsid w:val="007F0610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3E66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8365D"/>
    <w:rsid w:val="00884119"/>
    <w:rsid w:val="00884765"/>
    <w:rsid w:val="00884793"/>
    <w:rsid w:val="008856F3"/>
    <w:rsid w:val="00894765"/>
    <w:rsid w:val="00896B81"/>
    <w:rsid w:val="008A30C7"/>
    <w:rsid w:val="008A45EF"/>
    <w:rsid w:val="008A4D8F"/>
    <w:rsid w:val="008A6558"/>
    <w:rsid w:val="008B0005"/>
    <w:rsid w:val="008B0398"/>
    <w:rsid w:val="008B167D"/>
    <w:rsid w:val="008B1990"/>
    <w:rsid w:val="008B2DC5"/>
    <w:rsid w:val="008B3328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68A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37D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3C5A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444FC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3C7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34E6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32C0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3312"/>
    <w:rsid w:val="00C35B42"/>
    <w:rsid w:val="00C40240"/>
    <w:rsid w:val="00C40BCE"/>
    <w:rsid w:val="00C43C79"/>
    <w:rsid w:val="00C44E2E"/>
    <w:rsid w:val="00C46030"/>
    <w:rsid w:val="00C5287F"/>
    <w:rsid w:val="00C535EB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0F06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2D83"/>
    <w:rsid w:val="00DC377B"/>
    <w:rsid w:val="00DC40B2"/>
    <w:rsid w:val="00DC51BB"/>
    <w:rsid w:val="00DC5A2E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A7E67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2D04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6B1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489945A1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413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ank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7C14-9D90-4C79-AABC-EFF87CA2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Amtsberg, Ines</cp:lastModifiedBy>
  <cp:revision>5</cp:revision>
  <cp:lastPrinted>2015-08-06T14:12:00Z</cp:lastPrinted>
  <dcterms:created xsi:type="dcterms:W3CDTF">2023-03-14T05:34:00Z</dcterms:created>
  <dcterms:modified xsi:type="dcterms:W3CDTF">2023-03-14T05:37:00Z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