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61" w:rsidRPr="004B234C" w:rsidRDefault="000B7A61" w:rsidP="000B7A61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</w:p>
    <w:p w:rsidR="000B7A61" w:rsidRPr="00791495" w:rsidRDefault="000B7A61" w:rsidP="000B7A61">
      <w:pPr>
        <w:pStyle w:val="Listenabsatz"/>
        <w:numPr>
          <w:ilvl w:val="0"/>
          <w:numId w:val="1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Bei den oben genannten Projekten, die auf Basis der Gesamtpauschale gemäß Haushaltsordnung beantragt werden, erfolgt die Auszahlung jeweils nach der Erreichung von </w:t>
      </w:r>
      <w:r w:rsidRPr="00791495">
        <w:rPr>
          <w:rFonts w:ascii="Arial" w:hAnsi="Arial" w:cs="Arial"/>
          <w:b/>
          <w:color w:val="00269B"/>
        </w:rPr>
        <w:t>vorher definierten Meilensteinen</w:t>
      </w:r>
      <w:r w:rsidRPr="00791495">
        <w:rPr>
          <w:rFonts w:ascii="Arial" w:hAnsi="Arial" w:cs="Arial"/>
          <w:color w:val="00269B"/>
        </w:rPr>
        <w:t>.</w:t>
      </w:r>
    </w:p>
    <w:p w:rsidR="000B7A61" w:rsidRPr="00791495" w:rsidRDefault="000B7A61" w:rsidP="000B7A61">
      <w:pPr>
        <w:pStyle w:val="Listenabsatz"/>
        <w:numPr>
          <w:ilvl w:val="0"/>
          <w:numId w:val="1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:rsidR="000B7A61" w:rsidRPr="00791495" w:rsidRDefault="000B7A61" w:rsidP="000B7A61">
      <w:pPr>
        <w:pStyle w:val="Listenabsatz"/>
        <w:numPr>
          <w:ilvl w:val="0"/>
          <w:numId w:val="1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legt die </w:t>
      </w:r>
      <w:r w:rsidRPr="00791495">
        <w:rPr>
          <w:rFonts w:ascii="Arial" w:hAnsi="Arial" w:cs="Arial"/>
          <w:b/>
          <w:color w:val="00269B"/>
        </w:rPr>
        <w:t>antragstellende Einrichtung</w:t>
      </w:r>
      <w:r w:rsidRPr="00791495">
        <w:rPr>
          <w:rFonts w:ascii="Arial" w:hAnsi="Arial" w:cs="Arial"/>
          <w:color w:val="00269B"/>
        </w:rPr>
        <w:t xml:space="preserve"> Meilensteine fest und führt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 xml:space="preserve"> wird.</w:t>
      </w:r>
    </w:p>
    <w:p w:rsidR="000B7A61" w:rsidRPr="00791495" w:rsidRDefault="000B7A61" w:rsidP="000B7A61">
      <w:pPr>
        <w:pStyle w:val="Listenabsatz"/>
        <w:numPr>
          <w:ilvl w:val="0"/>
          <w:numId w:val="1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Der Nachweis des letzten Meilensteins ersetzt den Verwendungsnachweis.</w:t>
      </w:r>
    </w:p>
    <w:p w:rsidR="000B7A61" w:rsidRDefault="000B7A61" w:rsidP="000B7A61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9146" w:type="dxa"/>
        <w:tblInd w:w="9" w:type="dxa"/>
        <w:tblLook w:val="04A0" w:firstRow="1" w:lastRow="0" w:firstColumn="1" w:lastColumn="0" w:noHBand="0" w:noVBand="1"/>
      </w:tblPr>
      <w:tblGrid>
        <w:gridCol w:w="1538"/>
        <w:gridCol w:w="2515"/>
        <w:gridCol w:w="1828"/>
        <w:gridCol w:w="1429"/>
        <w:gridCol w:w="1836"/>
      </w:tblGrid>
      <w:tr w:rsidR="000B7A61" w:rsidTr="00957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:rsidR="000B7A61" w:rsidRDefault="000B7A61" w:rsidP="00155F9E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2515" w:type="dxa"/>
            <w:shd w:val="clear" w:color="auto" w:fill="D2DDFF"/>
            <w:tcMar>
              <w:left w:w="0" w:type="dxa"/>
              <w:right w:w="0" w:type="dxa"/>
            </w:tcMar>
          </w:tcPr>
          <w:p w:rsidR="000B7A61" w:rsidRDefault="000B7A61" w:rsidP="00155F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828" w:type="dxa"/>
            <w:shd w:val="clear" w:color="auto" w:fill="D2DDFF"/>
          </w:tcPr>
          <w:p w:rsidR="000B7A61" w:rsidRDefault="000B7A61" w:rsidP="00155F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429" w:type="dxa"/>
            <w:shd w:val="clear" w:color="auto" w:fill="D2DDFF"/>
          </w:tcPr>
          <w:p w:rsidR="000B7A61" w:rsidRDefault="000B7A61" w:rsidP="00155F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>
              <w:rPr>
                <w:rFonts w:ascii="Arial" w:hAnsi="Arial" w:cs="Arial"/>
                <w:color w:val="00269B"/>
              </w:rPr>
              <w:br/>
              <w:t>Meilenstein</w:t>
            </w:r>
          </w:p>
        </w:tc>
        <w:tc>
          <w:tcPr>
            <w:tcW w:w="1836" w:type="dxa"/>
            <w:shd w:val="clear" w:color="auto" w:fill="D2DDFF"/>
          </w:tcPr>
          <w:p w:rsidR="000B7A61" w:rsidRDefault="000B7A61" w:rsidP="00155F9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0B7A61" w:rsidTr="0095766F">
        <w:trPr>
          <w:trHeight w:val="1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auto"/>
            </w:tcBorders>
            <w:shd w:val="clear" w:color="auto" w:fill="D2DDFF"/>
          </w:tcPr>
          <w:p w:rsidR="000B7A61" w:rsidRPr="0067555D" w:rsidRDefault="000B7A61" w:rsidP="000B7A61">
            <w:pPr>
              <w:pStyle w:val="Listenabsatz"/>
              <w:numPr>
                <w:ilvl w:val="0"/>
                <w:numId w:val="2"/>
              </w:numPr>
              <w:tabs>
                <w:tab w:val="left" w:pos="170"/>
                <w:tab w:val="left" w:pos="227"/>
              </w:tabs>
              <w:spacing w:after="0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515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7A61" w:rsidTr="0095766F">
        <w:trPr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auto"/>
            </w:tcBorders>
            <w:shd w:val="clear" w:color="auto" w:fill="D2DDFF"/>
          </w:tcPr>
          <w:p w:rsidR="000B7A61" w:rsidRPr="00D35073" w:rsidRDefault="000B7A61" w:rsidP="000B7A61">
            <w:pPr>
              <w:pStyle w:val="Listenabsatz"/>
              <w:numPr>
                <w:ilvl w:val="0"/>
                <w:numId w:val="2"/>
              </w:numPr>
              <w:tabs>
                <w:tab w:val="left" w:pos="170"/>
                <w:tab w:val="left" w:pos="227"/>
              </w:tabs>
              <w:spacing w:after="0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515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7A61" w:rsidTr="0095766F">
        <w:trPr>
          <w:trHeight w:val="2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auto"/>
            </w:tcBorders>
            <w:shd w:val="clear" w:color="auto" w:fill="D2DDFF"/>
          </w:tcPr>
          <w:p w:rsidR="000B7A61" w:rsidRDefault="000B7A61" w:rsidP="000B7A61">
            <w:pPr>
              <w:pStyle w:val="Listenabsatz"/>
              <w:numPr>
                <w:ilvl w:val="0"/>
                <w:numId w:val="2"/>
              </w:numPr>
              <w:tabs>
                <w:tab w:val="left" w:pos="170"/>
                <w:tab w:val="left" w:pos="227"/>
              </w:tabs>
              <w:spacing w:after="0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2515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7A61" w:rsidTr="0095766F">
        <w:trPr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single" w:sz="4" w:space="0" w:color="auto"/>
            </w:tcBorders>
            <w:shd w:val="clear" w:color="auto" w:fill="D2DDFF"/>
          </w:tcPr>
          <w:p w:rsidR="000B7A61" w:rsidRDefault="000B7A61" w:rsidP="000B7A61">
            <w:pPr>
              <w:pStyle w:val="Listenabsatz"/>
              <w:numPr>
                <w:ilvl w:val="0"/>
                <w:numId w:val="2"/>
              </w:numPr>
              <w:tabs>
                <w:tab w:val="left" w:pos="170"/>
                <w:tab w:val="left" w:pos="227"/>
              </w:tabs>
              <w:spacing w:after="0"/>
              <w:ind w:left="108" w:hanging="227"/>
              <w:rPr>
                <w:rFonts w:ascii="Arial" w:hAnsi="Arial" w:cs="Arial"/>
                <w:b w:val="0"/>
                <w:bCs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  <w:p w:rsidR="000B7A61" w:rsidRPr="000B7A61" w:rsidRDefault="000B7A61" w:rsidP="000B7A61"/>
          <w:p w:rsidR="000B7A61" w:rsidRPr="000B7A61" w:rsidRDefault="000B7A61" w:rsidP="000B7A61"/>
          <w:p w:rsidR="000B7A61" w:rsidRPr="000B7A61" w:rsidRDefault="000B7A61" w:rsidP="000B7A61"/>
          <w:p w:rsidR="000B7A61" w:rsidRPr="000B7A61" w:rsidRDefault="000B7A61" w:rsidP="000B7A61"/>
        </w:tc>
        <w:tc>
          <w:tcPr>
            <w:tcW w:w="2515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36" w:type="dxa"/>
          </w:tcPr>
          <w:p w:rsidR="000B7A61" w:rsidRPr="00791495" w:rsidRDefault="000B7A61" w:rsidP="00155F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A045FF" w:rsidRDefault="00A045FF" w:rsidP="0095766F"/>
    <w:sectPr w:rsidR="00A04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F" w:rsidRDefault="006E689F" w:rsidP="000B7A61">
      <w:pPr>
        <w:spacing w:after="0" w:line="240" w:lineRule="auto"/>
      </w:pPr>
      <w:r>
        <w:separator/>
      </w:r>
    </w:p>
  </w:endnote>
  <w:endnote w:type="continuationSeparator" w:id="0">
    <w:p w:rsidR="006E689F" w:rsidRDefault="006E689F" w:rsidP="000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F" w:rsidRDefault="006E689F" w:rsidP="000B7A61">
      <w:pPr>
        <w:spacing w:after="0" w:line="240" w:lineRule="auto"/>
      </w:pPr>
      <w:r>
        <w:separator/>
      </w:r>
    </w:p>
  </w:footnote>
  <w:footnote w:type="continuationSeparator" w:id="0">
    <w:p w:rsidR="006E689F" w:rsidRDefault="006E689F" w:rsidP="000B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61"/>
    <w:rsid w:val="000B7A61"/>
    <w:rsid w:val="006E689F"/>
    <w:rsid w:val="0095766F"/>
    <w:rsid w:val="00A0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0120"/>
  <w15:chartTrackingRefBased/>
  <w15:docId w15:val="{D090BA6E-76A2-491F-818F-971D5AD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A61"/>
    <w:pPr>
      <w:spacing w:after="200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7A61"/>
    <w:pPr>
      <w:ind w:left="720"/>
      <w:contextualSpacing/>
    </w:pPr>
  </w:style>
  <w:style w:type="table" w:styleId="Gitternetztabelle1hellAkzent1">
    <w:name w:val="Grid Table 1 Light Accent 1"/>
    <w:basedOn w:val="NormaleTabelle"/>
    <w:uiPriority w:val="46"/>
    <w:rsid w:val="000B7A61"/>
    <w:pPr>
      <w:spacing w:line="240" w:lineRule="auto"/>
    </w:pPr>
    <w:rPr>
      <w:rFonts w:ascii="Times New Roman" w:eastAsia="Times New Roman" w:hAnsi="Times New Roman" w:cs="Times New Roman"/>
      <w:bCs w:val="0"/>
      <w:lang w:eastAsia="de-D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0B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A61"/>
    <w:rPr>
      <w:rFonts w:ascii="Calibri" w:eastAsia="Calibri" w:hAnsi="Calibri" w:cs="Times New Roman"/>
      <w:bCs w:val="0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B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A61"/>
    <w:rPr>
      <w:rFonts w:ascii="Calibri" w:eastAsia="Calibri" w:hAnsi="Calibri" w:cs="Times New Roman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Yernaux, Alice</dc:creator>
  <cp:keywords/>
  <dc:description/>
  <cp:lastModifiedBy>Yernaux, Alice</cp:lastModifiedBy>
  <cp:revision>2</cp:revision>
  <dcterms:created xsi:type="dcterms:W3CDTF">2022-07-14T06:02:00Z</dcterms:created>
  <dcterms:modified xsi:type="dcterms:W3CDTF">2022-07-15T11:07:00Z</dcterms:modified>
</cp:coreProperties>
</file>