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3B0DA" w14:textId="77777777" w:rsidR="00BF6248" w:rsidRPr="00232267" w:rsidRDefault="00BF6248" w:rsidP="00BF6248">
      <w:pPr>
        <w:tabs>
          <w:tab w:val="left" w:pos="1772"/>
          <w:tab w:val="left" w:pos="4324"/>
        </w:tabs>
        <w:spacing w:before="120" w:after="0"/>
        <w:rPr>
          <w:rFonts w:ascii="Arial" w:hAnsi="Arial" w:cs="Arial"/>
          <w:b/>
          <w:color w:val="FF0000"/>
          <w:sz w:val="28"/>
          <w:szCs w:val="28"/>
        </w:rPr>
      </w:pPr>
      <w:r w:rsidRPr="00232267">
        <w:rPr>
          <w:rFonts w:ascii="Arial" w:hAnsi="Arial" w:cs="Arial"/>
          <w:b/>
          <w:sz w:val="28"/>
          <w:szCs w:val="28"/>
          <w:u w:val="single"/>
        </w:rPr>
        <w:t>Teil B: Beihilfecheckliste auf Ebene der Letztempfänger gemäß</w:t>
      </w:r>
      <w:r w:rsidR="00FA0009" w:rsidRPr="00232267">
        <w:rPr>
          <w:rFonts w:ascii="Arial" w:hAnsi="Arial" w:cs="Arial"/>
          <w:b/>
          <w:sz w:val="28"/>
          <w:szCs w:val="28"/>
          <w:u w:val="single"/>
        </w:rPr>
        <w:t xml:space="preserve"> der VO (EU) Nr. 1407/2013 – im Folgenden:</w:t>
      </w:r>
      <w:r w:rsidRPr="00232267">
        <w:rPr>
          <w:rFonts w:ascii="Arial" w:hAnsi="Arial" w:cs="Arial"/>
          <w:b/>
          <w:sz w:val="28"/>
          <w:szCs w:val="28"/>
          <w:u w:val="single"/>
        </w:rPr>
        <w:t xml:space="preserve"> De-minimis</w:t>
      </w:r>
      <w:r w:rsidR="006D1EDF" w:rsidRPr="00232267">
        <w:rPr>
          <w:rFonts w:ascii="Arial" w:hAnsi="Arial" w:cs="Arial"/>
          <w:b/>
          <w:sz w:val="28"/>
          <w:szCs w:val="28"/>
          <w:u w:val="single"/>
        </w:rPr>
        <w:t>-VO</w:t>
      </w:r>
    </w:p>
    <w:p w14:paraId="22148539" w14:textId="77777777" w:rsidR="00BF6248" w:rsidRDefault="00BF6248" w:rsidP="00A6668F"/>
    <w:p w14:paraId="08479003" w14:textId="17BDB3FB" w:rsidR="00BF6248" w:rsidRDefault="006C7CFF" w:rsidP="0029221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Beratendes Unternehmen</w:t>
      </w:r>
      <w:r w:rsidR="00292216">
        <w:rPr>
          <w:rFonts w:ascii="Arial" w:hAnsi="Arial" w:cs="Arial"/>
        </w:rPr>
        <w:t>:</w:t>
      </w:r>
    </w:p>
    <w:p w14:paraId="7CCB7833" w14:textId="5A1BDC7C" w:rsidR="006C7CFF" w:rsidRDefault="006C7CFF" w:rsidP="0029221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w:t>
      </w:r>
      <w:r w:rsidR="00205C56">
        <w:rPr>
          <w:rFonts w:ascii="Arial" w:hAnsi="Arial" w:cs="Arial"/>
        </w:rPr>
        <w:t>________________</w:t>
      </w:r>
    </w:p>
    <w:p w14:paraId="263E5DCA" w14:textId="0B9E8559" w:rsidR="006C7CFF" w:rsidRDefault="006C7CFF" w:rsidP="0029221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Straße, PLZ, Ort </w:t>
      </w:r>
    </w:p>
    <w:p w14:paraId="1AE18E2F" w14:textId="3AAB804B" w:rsidR="00262B60" w:rsidRDefault="00205C56" w:rsidP="0029221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w:t>
      </w:r>
    </w:p>
    <w:p w14:paraId="333D35E0" w14:textId="77777777" w:rsidR="00292216" w:rsidRPr="00232267" w:rsidRDefault="00292216" w:rsidP="00A6668F">
      <w:pPr>
        <w:rPr>
          <w:rFonts w:ascii="Arial" w:hAnsi="Arial" w:cs="Arial"/>
        </w:rPr>
      </w:pPr>
    </w:p>
    <w:tbl>
      <w:tblPr>
        <w:tblW w:w="94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9"/>
        <w:gridCol w:w="1492"/>
      </w:tblGrid>
      <w:tr w:rsidR="00A6668F" w:rsidRPr="003E2711" w14:paraId="5BA55E20" w14:textId="77777777" w:rsidTr="00774626">
        <w:trPr>
          <w:trHeight w:val="541"/>
        </w:trPr>
        <w:tc>
          <w:tcPr>
            <w:tcW w:w="7939" w:type="dxa"/>
          </w:tcPr>
          <w:p w14:paraId="3C6C6E53" w14:textId="49578479" w:rsidR="00A6668F" w:rsidRPr="003E2711" w:rsidRDefault="006D1EDF" w:rsidP="006D1EDF">
            <w:pPr>
              <w:pStyle w:val="Listenabsatz"/>
              <w:spacing w:before="120" w:after="120" w:line="240" w:lineRule="auto"/>
              <w:ind w:left="0"/>
              <w:jc w:val="both"/>
              <w:rPr>
                <w:rFonts w:cs="Arial"/>
                <w:sz w:val="20"/>
                <w:szCs w:val="20"/>
              </w:rPr>
            </w:pPr>
            <w:r w:rsidRPr="00232267">
              <w:rPr>
                <w:rFonts w:ascii="Arial" w:hAnsi="Arial" w:cs="Arial"/>
                <w:b/>
                <w:sz w:val="20"/>
                <w:szCs w:val="20"/>
              </w:rPr>
              <w:t xml:space="preserve">Für den beihilferelevanten Teil der Förderung ist die </w:t>
            </w:r>
            <w:r w:rsidR="00A6668F" w:rsidRPr="00232267">
              <w:rPr>
                <w:rFonts w:ascii="Arial" w:hAnsi="Arial" w:cs="Arial"/>
                <w:b/>
                <w:sz w:val="20"/>
                <w:szCs w:val="20"/>
              </w:rPr>
              <w:t>De-minimis VO als Freistellungsgrundlage zu prüfen</w:t>
            </w:r>
            <w:r w:rsidR="00205C56">
              <w:rPr>
                <w:rFonts w:ascii="Arial" w:hAnsi="Arial" w:cs="Arial"/>
                <w:b/>
                <w:sz w:val="20"/>
                <w:szCs w:val="20"/>
              </w:rPr>
              <w:t>. Liegen die nachfolgenden Voraussetzungen kumulativ vor und das Vorhaben kann nach der De-minimis-VO freigestellt werden?</w:t>
            </w:r>
          </w:p>
        </w:tc>
        <w:tc>
          <w:tcPr>
            <w:tcW w:w="1492" w:type="dxa"/>
          </w:tcPr>
          <w:p w14:paraId="26D13893" w14:textId="77777777" w:rsidR="00A6668F" w:rsidRDefault="00A6668F" w:rsidP="00673B14">
            <w:pPr>
              <w:tabs>
                <w:tab w:val="left" w:pos="1772"/>
                <w:tab w:val="left" w:pos="4324"/>
              </w:tabs>
              <w:spacing w:before="120" w:after="120" w:line="240" w:lineRule="auto"/>
              <w:jc w:val="both"/>
              <w:rPr>
                <w:rFonts w:cs="Arial"/>
                <w:b/>
                <w:sz w:val="20"/>
                <w:szCs w:val="20"/>
              </w:rPr>
            </w:pPr>
            <w:r w:rsidRPr="003E2711">
              <w:rPr>
                <w:rFonts w:cs="Arial"/>
                <w:b/>
                <w:sz w:val="20"/>
                <w:szCs w:val="20"/>
              </w:rPr>
              <w:t>Vereinbarkeits</w:t>
            </w:r>
            <w:r w:rsidR="00774626">
              <w:rPr>
                <w:rFonts w:cs="Arial"/>
                <w:b/>
                <w:sz w:val="20"/>
                <w:szCs w:val="20"/>
              </w:rPr>
              <w:t>-</w:t>
            </w:r>
            <w:r w:rsidRPr="003E2711">
              <w:rPr>
                <w:rFonts w:cs="Arial"/>
                <w:b/>
                <w:sz w:val="20"/>
                <w:szCs w:val="20"/>
              </w:rPr>
              <w:t>prüfung (ok)?</w:t>
            </w:r>
          </w:p>
          <w:p w14:paraId="437431C0" w14:textId="77777777" w:rsidR="00A6668F" w:rsidRPr="003E2711" w:rsidRDefault="00A6668F" w:rsidP="00232267">
            <w:pPr>
              <w:tabs>
                <w:tab w:val="left" w:pos="1772"/>
                <w:tab w:val="left" w:pos="4324"/>
              </w:tabs>
              <w:spacing w:before="120" w:after="120" w:line="240" w:lineRule="auto"/>
              <w:rPr>
                <w:rFonts w:cs="Arial"/>
                <w:sz w:val="20"/>
                <w:szCs w:val="20"/>
              </w:rPr>
            </w:pPr>
            <w:r>
              <w:rPr>
                <w:rFonts w:cs="Arial"/>
                <w:b/>
                <w:color w:val="FF0000"/>
                <w:sz w:val="20"/>
                <w:szCs w:val="20"/>
                <w:u w:val="single"/>
              </w:rPr>
              <w:t>Bitte Ankreuzen und ggf. begründen</w:t>
            </w:r>
          </w:p>
        </w:tc>
      </w:tr>
      <w:tr w:rsidR="00205C56" w:rsidRPr="003E2711" w14:paraId="4D283742" w14:textId="77777777" w:rsidTr="001A22AC">
        <w:trPr>
          <w:trHeight w:val="390"/>
        </w:trPr>
        <w:tc>
          <w:tcPr>
            <w:tcW w:w="7939" w:type="dxa"/>
          </w:tcPr>
          <w:p w14:paraId="116B2094" w14:textId="77777777" w:rsidR="00205C56" w:rsidRPr="00BC42B5" w:rsidRDefault="00205C56" w:rsidP="001A22AC">
            <w:pPr>
              <w:autoSpaceDE w:val="0"/>
              <w:autoSpaceDN w:val="0"/>
              <w:adjustRightInd w:val="0"/>
              <w:spacing w:before="60" w:after="60" w:line="240" w:lineRule="auto"/>
              <w:jc w:val="both"/>
              <w:rPr>
                <w:rFonts w:ascii="Arial" w:hAnsi="Arial" w:cs="Arial"/>
                <w:sz w:val="20"/>
                <w:szCs w:val="20"/>
              </w:rPr>
            </w:pPr>
            <w:r w:rsidRPr="00BC42B5">
              <w:rPr>
                <w:rFonts w:ascii="Arial" w:hAnsi="Arial" w:cs="Arial"/>
                <w:sz w:val="20"/>
                <w:szCs w:val="20"/>
              </w:rPr>
              <w:t>Das Unternehmen unterliegt nicht den nachfolgend genannten Ausschlüssen gem. Art. 1 Abs. 1 De-minimis-VO?</w:t>
            </w:r>
          </w:p>
          <w:p w14:paraId="55CD868F" w14:textId="77777777" w:rsidR="00205C56" w:rsidRPr="00BC42B5" w:rsidRDefault="00205C56" w:rsidP="00205C56">
            <w:pPr>
              <w:pStyle w:val="Listenabsatz"/>
              <w:numPr>
                <w:ilvl w:val="0"/>
                <w:numId w:val="31"/>
              </w:numPr>
              <w:autoSpaceDE w:val="0"/>
              <w:autoSpaceDN w:val="0"/>
              <w:adjustRightInd w:val="0"/>
              <w:spacing w:before="60" w:after="60" w:line="240" w:lineRule="auto"/>
              <w:jc w:val="both"/>
              <w:rPr>
                <w:rFonts w:ascii="Arial" w:hAnsi="Arial" w:cs="Arial"/>
                <w:color w:val="000000"/>
                <w:sz w:val="20"/>
                <w:szCs w:val="20"/>
              </w:rPr>
            </w:pPr>
            <w:r w:rsidRPr="00BC42B5">
              <w:rPr>
                <w:rFonts w:ascii="Arial" w:hAnsi="Arial" w:cs="Arial"/>
                <w:color w:val="000000"/>
                <w:sz w:val="20"/>
                <w:szCs w:val="20"/>
              </w:rPr>
              <w:t xml:space="preserve">Beihilfen an Unternehmen, die in der Primärerzeugung von Erzeugnissen der </w:t>
            </w:r>
            <w:r w:rsidRPr="00BC42B5">
              <w:rPr>
                <w:rFonts w:ascii="Arial" w:hAnsi="Arial" w:cs="Arial"/>
                <w:b/>
                <w:color w:val="000000"/>
                <w:sz w:val="20"/>
                <w:szCs w:val="20"/>
              </w:rPr>
              <w:t>Fischerei oder der Aquakultur</w:t>
            </w:r>
            <w:r w:rsidRPr="00BC42B5">
              <w:rPr>
                <w:rFonts w:ascii="Arial" w:hAnsi="Arial" w:cs="Arial"/>
                <w:color w:val="000000"/>
                <w:sz w:val="20"/>
                <w:szCs w:val="20"/>
              </w:rPr>
              <w:t xml:space="preserve"> im Sinne der Verordnung (EG) Nr. 1379/2013 des Europäischen Parlaments und des Rates tätig sind; </w:t>
            </w:r>
          </w:p>
          <w:p w14:paraId="48B01003" w14:textId="77777777" w:rsidR="00205C56" w:rsidRPr="00BC42B5" w:rsidRDefault="00205C56" w:rsidP="00205C56">
            <w:pPr>
              <w:pStyle w:val="Listenabsatz"/>
              <w:numPr>
                <w:ilvl w:val="0"/>
                <w:numId w:val="33"/>
              </w:numPr>
              <w:autoSpaceDE w:val="0"/>
              <w:autoSpaceDN w:val="0"/>
              <w:adjustRightInd w:val="0"/>
              <w:spacing w:before="60" w:after="60" w:line="240" w:lineRule="auto"/>
              <w:jc w:val="both"/>
              <w:rPr>
                <w:rFonts w:ascii="Arial" w:hAnsi="Arial" w:cs="Arial"/>
                <w:color w:val="000000"/>
                <w:sz w:val="20"/>
                <w:szCs w:val="20"/>
              </w:rPr>
            </w:pPr>
            <w:r w:rsidRPr="00BC42B5">
              <w:rPr>
                <w:rFonts w:ascii="Arial" w:hAnsi="Arial" w:cs="Arial"/>
                <w:color w:val="000000"/>
                <w:sz w:val="20"/>
                <w:szCs w:val="20"/>
              </w:rPr>
              <w:t>Beihilfen für Unternehmen, die in der Verarbeitung und Vermarktung von Fischerei- und Aquakulturerzeugnissen tätig sind, sofern der Beihilfebetrag auf der Grundlage des Preises oder der Menge der gekauften oder in Verkehr gebrachten Erzeugnisse festgesetzt wird;</w:t>
            </w:r>
          </w:p>
          <w:p w14:paraId="25632ACB" w14:textId="77777777" w:rsidR="00205C56" w:rsidRPr="00BC42B5" w:rsidRDefault="00205C56" w:rsidP="00205C56">
            <w:pPr>
              <w:pStyle w:val="Listenabsatz"/>
              <w:numPr>
                <w:ilvl w:val="0"/>
                <w:numId w:val="31"/>
              </w:numPr>
              <w:autoSpaceDE w:val="0"/>
              <w:autoSpaceDN w:val="0"/>
              <w:adjustRightInd w:val="0"/>
              <w:spacing w:before="60" w:after="60" w:line="240" w:lineRule="auto"/>
              <w:jc w:val="both"/>
              <w:rPr>
                <w:rFonts w:ascii="Arial" w:hAnsi="Arial" w:cs="Arial"/>
                <w:color w:val="000000"/>
                <w:sz w:val="20"/>
                <w:szCs w:val="20"/>
              </w:rPr>
            </w:pPr>
            <w:r w:rsidRPr="00BC42B5">
              <w:rPr>
                <w:rFonts w:ascii="Arial" w:hAnsi="Arial" w:cs="Arial"/>
                <w:color w:val="000000"/>
                <w:sz w:val="20"/>
                <w:szCs w:val="20"/>
              </w:rPr>
              <w:t xml:space="preserve">Beihilfen an Unternehmen, die in der </w:t>
            </w:r>
            <w:r w:rsidRPr="00BC42B5">
              <w:rPr>
                <w:rFonts w:ascii="Arial" w:hAnsi="Arial" w:cs="Arial"/>
                <w:b/>
                <w:color w:val="000000"/>
                <w:sz w:val="20"/>
                <w:szCs w:val="20"/>
              </w:rPr>
              <w:t>Primärerzeugung landwirtschaftlicher Erzeugnisse</w:t>
            </w:r>
            <w:r w:rsidRPr="00BC42B5">
              <w:rPr>
                <w:rFonts w:ascii="Arial" w:hAnsi="Arial" w:cs="Arial"/>
                <w:color w:val="000000"/>
                <w:sz w:val="20"/>
                <w:szCs w:val="20"/>
              </w:rPr>
              <w:t xml:space="preserve"> tätig sind; </w:t>
            </w:r>
          </w:p>
          <w:p w14:paraId="686D7035" w14:textId="77777777" w:rsidR="00205C56" w:rsidRPr="00BC42B5" w:rsidRDefault="00205C56" w:rsidP="00205C56">
            <w:pPr>
              <w:pStyle w:val="Listenabsatz"/>
              <w:numPr>
                <w:ilvl w:val="0"/>
                <w:numId w:val="31"/>
              </w:numPr>
              <w:autoSpaceDE w:val="0"/>
              <w:autoSpaceDN w:val="0"/>
              <w:adjustRightInd w:val="0"/>
              <w:spacing w:before="60" w:after="60" w:line="240" w:lineRule="auto"/>
              <w:jc w:val="both"/>
              <w:rPr>
                <w:rFonts w:ascii="Arial" w:hAnsi="Arial" w:cs="Arial"/>
                <w:color w:val="000000"/>
                <w:sz w:val="20"/>
                <w:szCs w:val="20"/>
              </w:rPr>
            </w:pPr>
            <w:r w:rsidRPr="00BC42B5">
              <w:rPr>
                <w:rFonts w:ascii="Arial" w:hAnsi="Arial" w:cs="Arial"/>
                <w:color w:val="000000"/>
                <w:sz w:val="20"/>
                <w:szCs w:val="20"/>
              </w:rPr>
              <w:t xml:space="preserve">Beihilfen an Unternehmen, die in der </w:t>
            </w:r>
            <w:r w:rsidRPr="00BC42B5">
              <w:rPr>
                <w:rFonts w:ascii="Arial" w:hAnsi="Arial" w:cs="Arial"/>
                <w:b/>
                <w:color w:val="000000"/>
                <w:sz w:val="20"/>
                <w:szCs w:val="20"/>
              </w:rPr>
              <w:t>Verarbeitung und Vermarktung landwirtschaftlicher Erzeugnisse</w:t>
            </w:r>
            <w:r w:rsidRPr="00BC42B5">
              <w:rPr>
                <w:rFonts w:ascii="Arial" w:hAnsi="Arial" w:cs="Arial"/>
                <w:color w:val="000000"/>
                <w:sz w:val="20"/>
                <w:szCs w:val="20"/>
              </w:rPr>
              <w:t xml:space="preserve"> tätig sind, </w:t>
            </w:r>
          </w:p>
          <w:p w14:paraId="49767F83" w14:textId="77777777" w:rsidR="00205C56" w:rsidRPr="00BC42B5" w:rsidRDefault="00205C56" w:rsidP="00205C56">
            <w:pPr>
              <w:pStyle w:val="Listenabsatz"/>
              <w:numPr>
                <w:ilvl w:val="0"/>
                <w:numId w:val="32"/>
              </w:numPr>
              <w:autoSpaceDE w:val="0"/>
              <w:autoSpaceDN w:val="0"/>
              <w:adjustRightInd w:val="0"/>
              <w:spacing w:before="60" w:after="60" w:line="240" w:lineRule="auto"/>
              <w:jc w:val="both"/>
              <w:rPr>
                <w:rFonts w:ascii="Arial" w:hAnsi="Arial" w:cs="Arial"/>
                <w:color w:val="000000"/>
                <w:sz w:val="20"/>
                <w:szCs w:val="20"/>
              </w:rPr>
            </w:pPr>
            <w:r w:rsidRPr="00BC42B5">
              <w:rPr>
                <w:rFonts w:ascii="Arial" w:hAnsi="Arial" w:cs="Arial"/>
                <w:color w:val="000000"/>
                <w:sz w:val="20"/>
                <w:szCs w:val="20"/>
              </w:rPr>
              <w:t xml:space="preserve">wenn sich der Beihilfebetrag nach </w:t>
            </w:r>
            <w:r w:rsidRPr="00BC42B5">
              <w:rPr>
                <w:rFonts w:ascii="Arial" w:hAnsi="Arial" w:cs="Arial"/>
                <w:b/>
                <w:color w:val="000000"/>
                <w:sz w:val="20"/>
                <w:szCs w:val="20"/>
              </w:rPr>
              <w:t>dem Preis oder der Menge der bei Primärerzeugern erworbenen oder von den betreffenden Unternehmen vermarkteten Erzeugnisse richtet</w:t>
            </w:r>
            <w:r w:rsidRPr="00BC42B5">
              <w:rPr>
                <w:rFonts w:ascii="Arial" w:hAnsi="Arial" w:cs="Arial"/>
                <w:color w:val="000000"/>
                <w:sz w:val="20"/>
                <w:szCs w:val="20"/>
              </w:rPr>
              <w:t xml:space="preserve">; </w:t>
            </w:r>
          </w:p>
          <w:p w14:paraId="6206B1C2" w14:textId="77777777" w:rsidR="00205C56" w:rsidRPr="00BC42B5" w:rsidRDefault="00205C56" w:rsidP="00205C56">
            <w:pPr>
              <w:pStyle w:val="Listenabsatz"/>
              <w:numPr>
                <w:ilvl w:val="0"/>
                <w:numId w:val="32"/>
              </w:numPr>
              <w:autoSpaceDE w:val="0"/>
              <w:autoSpaceDN w:val="0"/>
              <w:adjustRightInd w:val="0"/>
              <w:spacing w:before="60" w:after="60" w:line="240" w:lineRule="auto"/>
              <w:jc w:val="both"/>
              <w:rPr>
                <w:rFonts w:ascii="Arial" w:hAnsi="Arial" w:cs="Arial"/>
                <w:color w:val="000000"/>
                <w:sz w:val="20"/>
                <w:szCs w:val="20"/>
              </w:rPr>
            </w:pPr>
            <w:r w:rsidRPr="00BC42B5">
              <w:rPr>
                <w:rFonts w:ascii="Arial" w:hAnsi="Arial" w:cs="Arial"/>
                <w:color w:val="000000"/>
                <w:sz w:val="20"/>
                <w:szCs w:val="20"/>
              </w:rPr>
              <w:t xml:space="preserve">wenn die Beihilfe davon abhängig ist, dass sie </w:t>
            </w:r>
            <w:r w:rsidRPr="00BC42B5">
              <w:rPr>
                <w:rFonts w:ascii="Arial" w:hAnsi="Arial" w:cs="Arial"/>
                <w:b/>
                <w:color w:val="000000"/>
                <w:sz w:val="20"/>
                <w:szCs w:val="20"/>
              </w:rPr>
              <w:t>ganz oder teilweise an die Primärerzeuger weitergegeben wird</w:t>
            </w:r>
            <w:r w:rsidRPr="00BC42B5">
              <w:rPr>
                <w:rFonts w:ascii="Arial" w:hAnsi="Arial" w:cs="Arial"/>
                <w:color w:val="000000"/>
                <w:sz w:val="20"/>
                <w:szCs w:val="20"/>
              </w:rPr>
              <w:t xml:space="preserve">; </w:t>
            </w:r>
          </w:p>
          <w:p w14:paraId="35DE5245" w14:textId="77777777" w:rsidR="00205C56" w:rsidRPr="00BC42B5" w:rsidRDefault="00205C56" w:rsidP="00205C56">
            <w:pPr>
              <w:pStyle w:val="Listenabsatz"/>
              <w:numPr>
                <w:ilvl w:val="0"/>
                <w:numId w:val="31"/>
              </w:numPr>
              <w:autoSpaceDE w:val="0"/>
              <w:autoSpaceDN w:val="0"/>
              <w:adjustRightInd w:val="0"/>
              <w:spacing w:before="60" w:after="60" w:line="240" w:lineRule="auto"/>
              <w:jc w:val="both"/>
              <w:rPr>
                <w:rFonts w:ascii="Arial" w:hAnsi="Arial" w:cs="Arial"/>
                <w:color w:val="000000"/>
                <w:sz w:val="20"/>
                <w:szCs w:val="20"/>
              </w:rPr>
            </w:pPr>
            <w:r w:rsidRPr="00BC42B5">
              <w:rPr>
                <w:rFonts w:ascii="Arial" w:hAnsi="Arial" w:cs="Arial"/>
                <w:color w:val="000000"/>
                <w:sz w:val="20"/>
                <w:szCs w:val="20"/>
              </w:rPr>
              <w:t xml:space="preserve">Beihilfen für </w:t>
            </w:r>
            <w:r w:rsidRPr="00BC42B5">
              <w:rPr>
                <w:rFonts w:ascii="Arial" w:hAnsi="Arial" w:cs="Arial"/>
                <w:b/>
                <w:color w:val="000000"/>
                <w:sz w:val="20"/>
                <w:szCs w:val="20"/>
              </w:rPr>
              <w:t>exportbezogene Tätigkeiten, die auf Mitgliedstaaten oder Drittländer ausgerichtet sind</w:t>
            </w:r>
            <w:r w:rsidRPr="00BC42B5">
              <w:rPr>
                <w:rFonts w:ascii="Arial" w:hAnsi="Arial" w:cs="Arial"/>
                <w:color w:val="000000"/>
                <w:sz w:val="20"/>
                <w:szCs w:val="20"/>
              </w:rPr>
              <w:t xml:space="preserve">, d. h. Beihilfen, die unmittelbar mit den ausgeführten Mengen, mit der Errichtung und dem Betrieb eines Vertriebsnetzes oder mit anderen laufenden exportbezogenen Ausgaben in Zusammenhang stehen; </w:t>
            </w:r>
          </w:p>
          <w:p w14:paraId="2D06DF09" w14:textId="77777777" w:rsidR="00205C56" w:rsidRPr="00BC42B5" w:rsidRDefault="00205C56" w:rsidP="00205C56">
            <w:pPr>
              <w:pStyle w:val="Listenabsatz"/>
              <w:numPr>
                <w:ilvl w:val="0"/>
                <w:numId w:val="31"/>
              </w:numPr>
              <w:spacing w:before="120" w:after="120" w:line="240" w:lineRule="auto"/>
              <w:jc w:val="both"/>
              <w:rPr>
                <w:rFonts w:ascii="Arial" w:hAnsi="Arial" w:cs="Arial"/>
                <w:color w:val="000000"/>
                <w:sz w:val="20"/>
                <w:szCs w:val="20"/>
              </w:rPr>
            </w:pPr>
            <w:r w:rsidRPr="00BC42B5">
              <w:rPr>
                <w:rFonts w:ascii="Arial" w:hAnsi="Arial" w:cs="Arial"/>
                <w:color w:val="000000"/>
                <w:sz w:val="20"/>
                <w:szCs w:val="20"/>
              </w:rPr>
              <w:t xml:space="preserve">Beihilfen, die davon abhängig sind, dass </w:t>
            </w:r>
            <w:r w:rsidRPr="00BC42B5">
              <w:rPr>
                <w:rFonts w:ascii="Arial" w:hAnsi="Arial" w:cs="Arial"/>
                <w:b/>
                <w:color w:val="000000"/>
                <w:sz w:val="20"/>
                <w:szCs w:val="20"/>
              </w:rPr>
              <w:t>heimische Waren Vorrang vor eingeführten Waren</w:t>
            </w:r>
            <w:r w:rsidRPr="00BC42B5">
              <w:rPr>
                <w:rFonts w:ascii="Arial" w:hAnsi="Arial" w:cs="Arial"/>
                <w:color w:val="000000"/>
                <w:sz w:val="20"/>
                <w:szCs w:val="20"/>
              </w:rPr>
              <w:t xml:space="preserve"> erhalten.</w:t>
            </w:r>
          </w:p>
          <w:p w14:paraId="7BA7180F" w14:textId="77777777" w:rsidR="00205C56" w:rsidRPr="00BC42B5" w:rsidRDefault="00205C56" w:rsidP="001A22AC">
            <w:pPr>
              <w:pStyle w:val="Listenabsatz"/>
              <w:spacing w:before="120" w:after="120" w:line="240" w:lineRule="auto"/>
              <w:ind w:left="0"/>
              <w:jc w:val="both"/>
              <w:rPr>
                <w:rFonts w:ascii="Arial" w:hAnsi="Arial" w:cs="Arial"/>
                <w:color w:val="000000"/>
                <w:sz w:val="18"/>
                <w:szCs w:val="18"/>
              </w:rPr>
            </w:pPr>
          </w:p>
          <w:p w14:paraId="5452F5B4" w14:textId="77777777" w:rsidR="00205C56" w:rsidRPr="00BC42B5" w:rsidRDefault="00205C56" w:rsidP="001A22AC">
            <w:pPr>
              <w:pStyle w:val="Listenabsatz"/>
              <w:spacing w:before="120" w:after="120" w:line="240" w:lineRule="auto"/>
              <w:ind w:left="637"/>
              <w:jc w:val="both"/>
              <w:rPr>
                <w:rFonts w:ascii="Arial" w:hAnsi="Arial" w:cs="Arial"/>
                <w:i/>
                <w:color w:val="000000"/>
                <w:sz w:val="18"/>
                <w:szCs w:val="18"/>
              </w:rPr>
            </w:pPr>
            <w:r w:rsidRPr="00BC42B5">
              <w:rPr>
                <w:rFonts w:ascii="Arial" w:hAnsi="Arial" w:cs="Arial"/>
                <w:i/>
                <w:color w:val="000000"/>
                <w:sz w:val="18"/>
                <w:szCs w:val="18"/>
              </w:rPr>
              <w:t xml:space="preserve">Hinweis: </w:t>
            </w:r>
          </w:p>
          <w:p w14:paraId="0DA8D6C8" w14:textId="77777777" w:rsidR="00205C56" w:rsidRPr="00BC42B5" w:rsidRDefault="00205C56" w:rsidP="001A22AC">
            <w:pPr>
              <w:pStyle w:val="Listenabsatz"/>
              <w:spacing w:before="120" w:after="120" w:line="240" w:lineRule="auto"/>
              <w:ind w:left="637"/>
              <w:jc w:val="both"/>
              <w:rPr>
                <w:rFonts w:ascii="Arial" w:hAnsi="Arial" w:cs="Arial"/>
                <w:i/>
                <w:color w:val="000000"/>
                <w:sz w:val="18"/>
                <w:szCs w:val="18"/>
              </w:rPr>
            </w:pPr>
            <w:r w:rsidRPr="00BC42B5">
              <w:rPr>
                <w:rFonts w:ascii="Arial" w:hAnsi="Arial" w:cs="Arial"/>
                <w:i/>
                <w:color w:val="000000"/>
                <w:sz w:val="18"/>
                <w:szCs w:val="18"/>
              </w:rPr>
              <w:t>Sofern im Projekt eine Trennung von dem von Förderung ausgenommenen Bereich möglich ist gilt Art. 1 Abs. 2 De-minimis-VO:</w:t>
            </w:r>
          </w:p>
          <w:p w14:paraId="214468B6" w14:textId="77777777" w:rsidR="00205C56" w:rsidRPr="00BC42B5" w:rsidRDefault="00205C56" w:rsidP="001A22AC">
            <w:pPr>
              <w:pStyle w:val="Listenabsatz"/>
              <w:spacing w:before="120" w:after="120" w:line="240" w:lineRule="auto"/>
              <w:ind w:left="637"/>
              <w:jc w:val="both"/>
              <w:rPr>
                <w:rFonts w:ascii="Arial" w:hAnsi="Arial" w:cs="Arial"/>
                <w:i/>
                <w:color w:val="000000"/>
                <w:sz w:val="18"/>
                <w:szCs w:val="18"/>
              </w:rPr>
            </w:pPr>
            <w:r w:rsidRPr="00BC42B5">
              <w:rPr>
                <w:rFonts w:ascii="Arial" w:hAnsi="Arial" w:cs="Arial"/>
                <w:i/>
                <w:color w:val="000000"/>
                <w:sz w:val="18"/>
                <w:szCs w:val="18"/>
              </w:rPr>
              <w:t>-Wenn ein Unternehmen sowohl in den in Absatz 1 Buchstabe a, b oder c genannten Bereichen als auch in einem oder mehreren Bereichen tätig ist oder andere Tätigkeiten ausübt, die in den Geltungsbereich dieser Verordnung fallen, so gilt diese Verordnung für Beihilfen, die für letztere Bereiche oder Tätigkeiten gewährt werden, sofern der betreffende Mitgliedstaat durch geeignete Mittel wie die Trennung der Tätigkeiten oder die Unterscheidung der Kosten sicherstellt, dass die im Einklang mit dieser Verordnung gewährten De-minimis-Beihilfen nicht den Tätigkeiten in den vom Geltungsbereich dieser Verordnung ausgenommenen Bereichen zugutekommen.</w:t>
            </w:r>
          </w:p>
          <w:p w14:paraId="5871CE7B" w14:textId="77777777" w:rsidR="00205C56" w:rsidRPr="00BC42B5" w:rsidRDefault="00205C56" w:rsidP="001A22AC">
            <w:pPr>
              <w:pStyle w:val="Listenabsatz"/>
              <w:spacing w:before="120" w:after="120" w:line="240" w:lineRule="auto"/>
              <w:ind w:left="637"/>
              <w:jc w:val="both"/>
              <w:rPr>
                <w:rFonts w:ascii="Arial" w:hAnsi="Arial" w:cs="Arial"/>
                <w:i/>
                <w:color w:val="000000"/>
                <w:sz w:val="18"/>
                <w:szCs w:val="18"/>
              </w:rPr>
            </w:pPr>
          </w:p>
          <w:p w14:paraId="210B1FA6" w14:textId="34890E4A" w:rsidR="00205C56" w:rsidRPr="00BC42B5" w:rsidRDefault="00205C56" w:rsidP="001A22AC">
            <w:pPr>
              <w:pStyle w:val="Listenabsatz"/>
              <w:spacing w:before="120" w:after="120" w:line="240" w:lineRule="auto"/>
              <w:ind w:left="637"/>
              <w:jc w:val="both"/>
              <w:rPr>
                <w:rFonts w:ascii="Arial" w:hAnsi="Arial" w:cs="Arial"/>
                <w:i/>
                <w:sz w:val="18"/>
                <w:szCs w:val="18"/>
              </w:rPr>
            </w:pPr>
            <w:r w:rsidRPr="00BC42B5">
              <w:rPr>
                <w:rFonts w:ascii="Arial" w:hAnsi="Arial" w:cs="Arial"/>
                <w:i/>
                <w:sz w:val="18"/>
                <w:szCs w:val="18"/>
                <w:highlight w:val="yellow"/>
              </w:rPr>
              <w:t>Begründung, sofern auch ausgenommene Bereiche im Unternehmen vorhanden sind:</w:t>
            </w:r>
          </w:p>
          <w:p w14:paraId="08F5F20C" w14:textId="2F684E5E" w:rsidR="00205C56" w:rsidRPr="00BC42B5" w:rsidRDefault="00BC42B5" w:rsidP="001A22AC">
            <w:pPr>
              <w:pStyle w:val="Listenabsatz"/>
              <w:spacing w:before="120" w:after="120" w:line="240" w:lineRule="auto"/>
              <w:ind w:left="637"/>
              <w:jc w:val="both"/>
              <w:rPr>
                <w:rFonts w:ascii="Arial" w:hAnsi="Arial" w:cs="Arial"/>
                <w:i/>
                <w:sz w:val="18"/>
                <w:szCs w:val="18"/>
              </w:rPr>
            </w:pPr>
            <w:r>
              <w:rPr>
                <w:rFonts w:ascii="Arial" w:hAnsi="Arial" w:cs="Arial"/>
                <w:i/>
                <w:sz w:val="18"/>
                <w:szCs w:val="18"/>
              </w:rPr>
              <w:t>-</w:t>
            </w:r>
          </w:p>
          <w:p w14:paraId="3F133F4E" w14:textId="159DAAE5" w:rsidR="00205C56" w:rsidRPr="00BC42B5" w:rsidRDefault="00205C56" w:rsidP="001A22AC">
            <w:pPr>
              <w:pStyle w:val="Listenabsatz"/>
              <w:spacing w:before="120" w:after="120" w:line="240" w:lineRule="auto"/>
              <w:ind w:left="637"/>
              <w:jc w:val="both"/>
              <w:rPr>
                <w:rFonts w:ascii="Arial" w:hAnsi="Arial" w:cs="Arial"/>
                <w:i/>
                <w:sz w:val="18"/>
                <w:szCs w:val="18"/>
              </w:rPr>
            </w:pPr>
          </w:p>
          <w:p w14:paraId="42C9EA69" w14:textId="77777777" w:rsidR="00205C56" w:rsidRPr="00BC42B5" w:rsidRDefault="00205C56" w:rsidP="001A22AC">
            <w:pPr>
              <w:pStyle w:val="Listenabsatz"/>
              <w:spacing w:before="120" w:after="120" w:line="240" w:lineRule="auto"/>
              <w:ind w:left="426"/>
              <w:jc w:val="both"/>
              <w:rPr>
                <w:rFonts w:cs="Arial"/>
                <w:sz w:val="18"/>
                <w:szCs w:val="18"/>
              </w:rPr>
            </w:pPr>
          </w:p>
        </w:tc>
        <w:tc>
          <w:tcPr>
            <w:tcW w:w="1492" w:type="dxa"/>
          </w:tcPr>
          <w:p w14:paraId="5732A672" w14:textId="77777777" w:rsidR="00205C56" w:rsidRPr="003E2711" w:rsidRDefault="00205C56" w:rsidP="001A22AC">
            <w:pPr>
              <w:tabs>
                <w:tab w:val="left" w:pos="1772"/>
                <w:tab w:val="left" w:pos="4324"/>
              </w:tabs>
              <w:spacing w:before="120" w:after="120" w:line="240" w:lineRule="auto"/>
              <w:jc w:val="both"/>
              <w:rPr>
                <w:rFonts w:cs="Arial"/>
                <w:sz w:val="20"/>
                <w:szCs w:val="20"/>
              </w:rPr>
            </w:pPr>
            <w:r w:rsidRPr="003E2711">
              <w:rPr>
                <w:rFonts w:cs="Arial"/>
                <w:sz w:val="20"/>
                <w:szCs w:val="20"/>
              </w:rPr>
              <w:lastRenderedPageBreak/>
              <w:fldChar w:fldCharType="begin">
                <w:ffData>
                  <w:name w:val=""/>
                  <w:enabled/>
                  <w:calcOnExit w:val="0"/>
                  <w:checkBox>
                    <w:size w:val="24"/>
                    <w:default w:val="0"/>
                  </w:checkBox>
                </w:ffData>
              </w:fldChar>
            </w:r>
            <w:r w:rsidRPr="003E2711">
              <w:rPr>
                <w:rFonts w:cs="Arial"/>
                <w:sz w:val="20"/>
                <w:szCs w:val="20"/>
              </w:rPr>
              <w:instrText xml:space="preserve"> FORMCHECKBOX </w:instrText>
            </w:r>
            <w:r w:rsidR="00C001C4">
              <w:rPr>
                <w:rFonts w:cs="Arial"/>
                <w:sz w:val="20"/>
                <w:szCs w:val="20"/>
              </w:rPr>
            </w:r>
            <w:r w:rsidR="00C001C4">
              <w:rPr>
                <w:rFonts w:cs="Arial"/>
                <w:sz w:val="20"/>
                <w:szCs w:val="20"/>
              </w:rPr>
              <w:fldChar w:fldCharType="separate"/>
            </w:r>
            <w:r w:rsidRPr="003E2711">
              <w:rPr>
                <w:rFonts w:cs="Arial"/>
                <w:sz w:val="20"/>
                <w:szCs w:val="20"/>
              </w:rPr>
              <w:fldChar w:fldCharType="end"/>
            </w:r>
            <w:r w:rsidRPr="003E2711">
              <w:rPr>
                <w:rFonts w:cs="Arial"/>
                <w:sz w:val="20"/>
                <w:szCs w:val="20"/>
              </w:rPr>
              <w:t xml:space="preserve"> ja   </w:t>
            </w:r>
            <w:r w:rsidRPr="003E2711">
              <w:rPr>
                <w:rFonts w:cs="Arial"/>
                <w:sz w:val="20"/>
                <w:szCs w:val="20"/>
              </w:rPr>
              <w:fldChar w:fldCharType="begin">
                <w:ffData>
                  <w:name w:val=""/>
                  <w:enabled/>
                  <w:calcOnExit w:val="0"/>
                  <w:checkBox>
                    <w:size w:val="24"/>
                    <w:default w:val="0"/>
                  </w:checkBox>
                </w:ffData>
              </w:fldChar>
            </w:r>
            <w:r w:rsidRPr="003E2711">
              <w:rPr>
                <w:rFonts w:cs="Arial"/>
                <w:sz w:val="20"/>
                <w:szCs w:val="20"/>
              </w:rPr>
              <w:instrText xml:space="preserve"> FORMCHECKBOX </w:instrText>
            </w:r>
            <w:r w:rsidR="00C001C4">
              <w:rPr>
                <w:rFonts w:cs="Arial"/>
                <w:sz w:val="20"/>
                <w:szCs w:val="20"/>
              </w:rPr>
            </w:r>
            <w:r w:rsidR="00C001C4">
              <w:rPr>
                <w:rFonts w:cs="Arial"/>
                <w:sz w:val="20"/>
                <w:szCs w:val="20"/>
              </w:rPr>
              <w:fldChar w:fldCharType="separate"/>
            </w:r>
            <w:r w:rsidRPr="003E2711">
              <w:rPr>
                <w:rFonts w:cs="Arial"/>
                <w:sz w:val="20"/>
                <w:szCs w:val="20"/>
              </w:rPr>
              <w:fldChar w:fldCharType="end"/>
            </w:r>
            <w:r w:rsidRPr="003E2711">
              <w:rPr>
                <w:rFonts w:cs="Arial"/>
                <w:sz w:val="20"/>
                <w:szCs w:val="20"/>
              </w:rPr>
              <w:t xml:space="preserve"> nein</w:t>
            </w:r>
          </w:p>
        </w:tc>
      </w:tr>
      <w:tr w:rsidR="00A6668F" w:rsidRPr="003E2711" w14:paraId="36E82D3F" w14:textId="77777777" w:rsidTr="00774626">
        <w:trPr>
          <w:trHeight w:val="440"/>
        </w:trPr>
        <w:tc>
          <w:tcPr>
            <w:tcW w:w="7939" w:type="dxa"/>
          </w:tcPr>
          <w:p w14:paraId="150C1939" w14:textId="77777777" w:rsidR="00A6668F" w:rsidRPr="00774626" w:rsidRDefault="006D1EDF" w:rsidP="00970421">
            <w:pPr>
              <w:pStyle w:val="Listenabsatz"/>
              <w:spacing w:before="120" w:after="120" w:line="240" w:lineRule="auto"/>
              <w:ind w:left="426"/>
              <w:jc w:val="both"/>
              <w:rPr>
                <w:rFonts w:ascii="Arial" w:hAnsi="Arial" w:cs="Arial"/>
                <w:sz w:val="20"/>
                <w:szCs w:val="20"/>
              </w:rPr>
            </w:pPr>
            <w:r w:rsidRPr="006D1EDF">
              <w:rPr>
                <w:rFonts w:ascii="Arial" w:hAnsi="Arial" w:cs="Arial"/>
                <w:sz w:val="20"/>
                <w:szCs w:val="20"/>
              </w:rPr>
              <w:t>Wurde eine De-minimis-Erklärung vorgelegt?</w:t>
            </w:r>
          </w:p>
        </w:tc>
        <w:tc>
          <w:tcPr>
            <w:tcW w:w="1492" w:type="dxa"/>
          </w:tcPr>
          <w:p w14:paraId="0C306039" w14:textId="77777777" w:rsidR="00A6668F" w:rsidRPr="00866337" w:rsidRDefault="00A6668F" w:rsidP="00673B14">
            <w:pPr>
              <w:tabs>
                <w:tab w:val="left" w:pos="1772"/>
                <w:tab w:val="left" w:pos="4324"/>
              </w:tabs>
              <w:spacing w:before="120" w:after="120" w:line="240" w:lineRule="auto"/>
              <w:jc w:val="both"/>
              <w:rPr>
                <w:rFonts w:cs="Arial"/>
                <w:sz w:val="18"/>
                <w:szCs w:val="18"/>
              </w:rPr>
            </w:pPr>
            <w:r w:rsidRPr="00866337">
              <w:rPr>
                <w:rFonts w:cs="Arial"/>
                <w:sz w:val="18"/>
                <w:szCs w:val="18"/>
              </w:rPr>
              <w:fldChar w:fldCharType="begin">
                <w:ffData>
                  <w:name w:val=""/>
                  <w:enabled/>
                  <w:calcOnExit w:val="0"/>
                  <w:checkBox>
                    <w:size w:val="24"/>
                    <w:default w:val="0"/>
                  </w:checkBox>
                </w:ffData>
              </w:fldChar>
            </w:r>
            <w:r w:rsidRPr="00866337">
              <w:rPr>
                <w:rFonts w:cs="Arial"/>
                <w:sz w:val="18"/>
                <w:szCs w:val="18"/>
              </w:rPr>
              <w:instrText xml:space="preserve"> FORMCHECKBOX </w:instrText>
            </w:r>
            <w:r w:rsidR="00C001C4">
              <w:rPr>
                <w:rFonts w:cs="Arial"/>
                <w:sz w:val="18"/>
                <w:szCs w:val="18"/>
              </w:rPr>
            </w:r>
            <w:r w:rsidR="00C001C4">
              <w:rPr>
                <w:rFonts w:cs="Arial"/>
                <w:sz w:val="18"/>
                <w:szCs w:val="18"/>
              </w:rPr>
              <w:fldChar w:fldCharType="separate"/>
            </w:r>
            <w:r w:rsidRPr="00866337">
              <w:rPr>
                <w:rFonts w:cs="Arial"/>
                <w:sz w:val="18"/>
                <w:szCs w:val="18"/>
              </w:rPr>
              <w:fldChar w:fldCharType="end"/>
            </w:r>
            <w:r w:rsidRPr="00866337">
              <w:rPr>
                <w:rFonts w:cs="Arial"/>
                <w:sz w:val="18"/>
                <w:szCs w:val="18"/>
              </w:rPr>
              <w:t xml:space="preserve"> ja   </w:t>
            </w:r>
            <w:r w:rsidRPr="00866337">
              <w:rPr>
                <w:rFonts w:cs="Arial"/>
                <w:sz w:val="18"/>
                <w:szCs w:val="18"/>
              </w:rPr>
              <w:fldChar w:fldCharType="begin">
                <w:ffData>
                  <w:name w:val=""/>
                  <w:enabled/>
                  <w:calcOnExit w:val="0"/>
                  <w:checkBox>
                    <w:size w:val="24"/>
                    <w:default w:val="0"/>
                  </w:checkBox>
                </w:ffData>
              </w:fldChar>
            </w:r>
            <w:r w:rsidRPr="00866337">
              <w:rPr>
                <w:rFonts w:cs="Arial"/>
                <w:sz w:val="18"/>
                <w:szCs w:val="18"/>
              </w:rPr>
              <w:instrText xml:space="preserve"> FORMCHECKBOX </w:instrText>
            </w:r>
            <w:r w:rsidR="00C001C4">
              <w:rPr>
                <w:rFonts w:cs="Arial"/>
                <w:sz w:val="18"/>
                <w:szCs w:val="18"/>
              </w:rPr>
            </w:r>
            <w:r w:rsidR="00C001C4">
              <w:rPr>
                <w:rFonts w:cs="Arial"/>
                <w:sz w:val="18"/>
                <w:szCs w:val="18"/>
              </w:rPr>
              <w:fldChar w:fldCharType="separate"/>
            </w:r>
            <w:r w:rsidRPr="00866337">
              <w:rPr>
                <w:rFonts w:cs="Arial"/>
                <w:sz w:val="18"/>
                <w:szCs w:val="18"/>
              </w:rPr>
              <w:fldChar w:fldCharType="end"/>
            </w:r>
            <w:r w:rsidRPr="00866337">
              <w:rPr>
                <w:rFonts w:cs="Arial"/>
                <w:sz w:val="18"/>
                <w:szCs w:val="18"/>
              </w:rPr>
              <w:t xml:space="preserve"> nein</w:t>
            </w:r>
          </w:p>
        </w:tc>
      </w:tr>
      <w:tr w:rsidR="00205C56" w:rsidRPr="003E2711" w14:paraId="18967461" w14:textId="77777777" w:rsidTr="001A22AC">
        <w:trPr>
          <w:trHeight w:val="440"/>
        </w:trPr>
        <w:tc>
          <w:tcPr>
            <w:tcW w:w="7939" w:type="dxa"/>
          </w:tcPr>
          <w:p w14:paraId="7D744350" w14:textId="77777777" w:rsidR="00205C56" w:rsidRPr="00774626" w:rsidRDefault="00205C56" w:rsidP="001A22AC">
            <w:pPr>
              <w:pStyle w:val="Listenabsatz"/>
              <w:spacing w:before="120" w:after="120" w:line="240" w:lineRule="auto"/>
              <w:ind w:left="426"/>
              <w:jc w:val="both"/>
              <w:rPr>
                <w:rFonts w:ascii="Arial" w:hAnsi="Arial" w:cs="Arial"/>
                <w:sz w:val="20"/>
                <w:szCs w:val="20"/>
              </w:rPr>
            </w:pPr>
            <w:r w:rsidRPr="00774626">
              <w:rPr>
                <w:rFonts w:ascii="Arial" w:hAnsi="Arial" w:cs="Arial"/>
                <w:sz w:val="20"/>
                <w:szCs w:val="20"/>
              </w:rPr>
              <w:t xml:space="preserve">Der Beihilfehöchstbetrag von 200.000 € (100.000 € im gewerblichen Straßengüterverkehr) über drei Kalenderjahre inkl. Kumulierung ist eingehalten? Bei der Gewährung der Beihilfe, werden die Vorgaben des Art. 3 Abs. 8 und Abs. 9 </w:t>
            </w:r>
            <w:r w:rsidRPr="006D1EDF">
              <w:rPr>
                <w:rFonts w:ascii="Arial" w:hAnsi="Arial" w:cs="Arial"/>
                <w:sz w:val="20"/>
                <w:szCs w:val="20"/>
              </w:rPr>
              <w:t xml:space="preserve">De-Minimis-VO </w:t>
            </w:r>
            <w:r w:rsidRPr="00774626">
              <w:rPr>
                <w:rFonts w:ascii="Arial" w:hAnsi="Arial" w:cs="Arial"/>
                <w:sz w:val="20"/>
                <w:szCs w:val="20"/>
              </w:rPr>
              <w:t xml:space="preserve">im Fall von Fusionen und Übernahmen bzw. Aufspaltung des beteiligten Unternehmens berücksichtigt. </w:t>
            </w:r>
          </w:p>
          <w:p w14:paraId="70475F47" w14:textId="77777777" w:rsidR="00205C56" w:rsidRPr="00774626" w:rsidRDefault="00205C56" w:rsidP="001A22AC">
            <w:pPr>
              <w:pStyle w:val="Listenabsatz"/>
              <w:spacing w:before="120" w:after="120" w:line="240" w:lineRule="auto"/>
              <w:ind w:left="426"/>
              <w:jc w:val="both"/>
              <w:rPr>
                <w:rFonts w:ascii="Arial" w:hAnsi="Arial" w:cs="Arial"/>
                <w:sz w:val="20"/>
                <w:szCs w:val="20"/>
              </w:rPr>
            </w:pPr>
          </w:p>
          <w:p w14:paraId="7D1F1383" w14:textId="77777777" w:rsidR="00205C56" w:rsidRPr="00774626" w:rsidRDefault="00205C56" w:rsidP="001A22AC">
            <w:pPr>
              <w:pStyle w:val="Listenabsatz"/>
              <w:spacing w:before="120" w:after="120" w:line="240" w:lineRule="auto"/>
              <w:ind w:left="426"/>
              <w:jc w:val="both"/>
              <w:rPr>
                <w:rFonts w:ascii="Arial" w:hAnsi="Arial" w:cs="Arial"/>
                <w:sz w:val="20"/>
                <w:szCs w:val="20"/>
              </w:rPr>
            </w:pPr>
            <w:r w:rsidRPr="00774626">
              <w:rPr>
                <w:rFonts w:ascii="Arial" w:hAnsi="Arial" w:cs="Arial"/>
                <w:sz w:val="20"/>
                <w:szCs w:val="20"/>
              </w:rPr>
              <w:t xml:space="preserve">Die Anforderung des Art. 6 Abs. 1 </w:t>
            </w:r>
            <w:r w:rsidRPr="006D1EDF">
              <w:rPr>
                <w:rFonts w:ascii="Arial" w:hAnsi="Arial" w:cs="Arial"/>
                <w:sz w:val="20"/>
                <w:szCs w:val="20"/>
              </w:rPr>
              <w:t>De-Minimis-VO</w:t>
            </w:r>
            <w:r w:rsidRPr="00774626">
              <w:rPr>
                <w:rFonts w:ascii="Arial" w:hAnsi="Arial" w:cs="Arial"/>
                <w:sz w:val="20"/>
                <w:szCs w:val="20"/>
              </w:rPr>
              <w:t>, dem Unternehmen die voraussichtliche Höhe der beabsichtigten Beihilfe mitzuteilen, wird durch eine entsprechende De-minimis-Bescheinigung erfüllt.</w:t>
            </w:r>
          </w:p>
          <w:p w14:paraId="2C3C7802" w14:textId="77777777" w:rsidR="00205C56" w:rsidRPr="00774626" w:rsidRDefault="00205C56" w:rsidP="001A22AC">
            <w:pPr>
              <w:pStyle w:val="Listenabsatz"/>
              <w:spacing w:before="120" w:after="120" w:line="240" w:lineRule="auto"/>
              <w:ind w:left="426"/>
              <w:jc w:val="both"/>
              <w:rPr>
                <w:rFonts w:ascii="Arial" w:hAnsi="Arial" w:cs="Arial"/>
                <w:i/>
                <w:sz w:val="20"/>
                <w:szCs w:val="20"/>
              </w:rPr>
            </w:pPr>
          </w:p>
          <w:p w14:paraId="26D4C277" w14:textId="77777777" w:rsidR="00205C56" w:rsidRPr="00774626" w:rsidRDefault="00205C56" w:rsidP="001A22AC">
            <w:pPr>
              <w:pStyle w:val="Listenabsatz"/>
              <w:spacing w:before="120" w:after="120" w:line="240" w:lineRule="auto"/>
              <w:ind w:left="426"/>
              <w:jc w:val="both"/>
              <w:rPr>
                <w:rFonts w:ascii="Arial" w:hAnsi="Arial" w:cs="Arial"/>
                <w:i/>
                <w:sz w:val="18"/>
                <w:szCs w:val="18"/>
              </w:rPr>
            </w:pPr>
            <w:r w:rsidRPr="00774626">
              <w:rPr>
                <w:rFonts w:ascii="Arial" w:hAnsi="Arial" w:cs="Arial"/>
                <w:i/>
                <w:sz w:val="18"/>
                <w:szCs w:val="18"/>
              </w:rPr>
              <w:t>Hinweis:</w:t>
            </w:r>
          </w:p>
          <w:p w14:paraId="4B350B9F" w14:textId="77777777" w:rsidR="00205C56" w:rsidRDefault="00205C56" w:rsidP="001A22AC">
            <w:pPr>
              <w:pStyle w:val="Listenabsatz"/>
              <w:spacing w:before="120" w:after="120" w:line="240" w:lineRule="auto"/>
              <w:ind w:left="426"/>
              <w:jc w:val="both"/>
              <w:rPr>
                <w:rFonts w:ascii="Arial" w:hAnsi="Arial" w:cs="Arial"/>
                <w:i/>
                <w:sz w:val="18"/>
                <w:szCs w:val="18"/>
              </w:rPr>
            </w:pPr>
            <w:r w:rsidRPr="00774626">
              <w:rPr>
                <w:rFonts w:ascii="Arial" w:hAnsi="Arial" w:cs="Arial"/>
                <w:i/>
                <w:sz w:val="18"/>
                <w:szCs w:val="18"/>
              </w:rPr>
              <w:t>Es sind nur die De-minimis-Beihilfen aus Deutschland zu Berücksichtigen. De-minimis-Beihilfen anderer Mitgliedsstaaten der EU werden zur Ermittlung des Höchstbetrages nicht berücksichtigt.</w:t>
            </w:r>
          </w:p>
          <w:p w14:paraId="4D0BBC09" w14:textId="77777777" w:rsidR="00205C56" w:rsidRDefault="00205C56" w:rsidP="001A22AC">
            <w:pPr>
              <w:pStyle w:val="Listenabsatz"/>
              <w:spacing w:before="120" w:after="120" w:line="240" w:lineRule="auto"/>
              <w:ind w:left="426"/>
              <w:jc w:val="both"/>
              <w:rPr>
                <w:rFonts w:ascii="Arial" w:hAnsi="Arial" w:cs="Arial"/>
                <w:i/>
                <w:sz w:val="18"/>
                <w:szCs w:val="18"/>
              </w:rPr>
            </w:pPr>
          </w:p>
          <w:p w14:paraId="563986FA" w14:textId="77777777" w:rsidR="00205C56" w:rsidRPr="00774626" w:rsidRDefault="00205C56" w:rsidP="001A22AC">
            <w:pPr>
              <w:pStyle w:val="Listenabsatz"/>
              <w:spacing w:before="120" w:after="120" w:line="240" w:lineRule="auto"/>
              <w:ind w:left="426"/>
              <w:jc w:val="both"/>
              <w:rPr>
                <w:rFonts w:ascii="Arial" w:hAnsi="Arial" w:cs="Arial"/>
                <w:sz w:val="20"/>
                <w:szCs w:val="20"/>
              </w:rPr>
            </w:pPr>
            <w:r>
              <w:rPr>
                <w:rFonts w:ascii="Arial" w:hAnsi="Arial" w:cs="Arial"/>
                <w:i/>
                <w:sz w:val="18"/>
                <w:szCs w:val="18"/>
              </w:rPr>
              <w:t xml:space="preserve">Ist ein Unternehmen sowohl im gewerblichen Straßengüterverkehr als auch in anderen Bereichen tätig, für die der Höchstbetrag von 200.000 </w:t>
            </w:r>
            <w:r w:rsidRPr="004D7C7A">
              <w:rPr>
                <w:rFonts w:ascii="Arial" w:hAnsi="Arial" w:cs="Arial"/>
                <w:i/>
                <w:sz w:val="18"/>
                <w:szCs w:val="18"/>
              </w:rPr>
              <w:t>€</w:t>
            </w:r>
            <w:r>
              <w:rPr>
                <w:rFonts w:ascii="Arial" w:hAnsi="Arial" w:cs="Arial"/>
                <w:i/>
                <w:sz w:val="18"/>
                <w:szCs w:val="18"/>
              </w:rPr>
              <w:t xml:space="preserve"> gilt, so gilt für das Unternehmen der Höchstbetrag von 200.000 </w:t>
            </w:r>
            <w:r w:rsidRPr="004D7C7A">
              <w:rPr>
                <w:rFonts w:ascii="Arial" w:hAnsi="Arial" w:cs="Arial"/>
                <w:i/>
                <w:sz w:val="18"/>
                <w:szCs w:val="18"/>
              </w:rPr>
              <w:t>€</w:t>
            </w:r>
            <w:r>
              <w:rPr>
                <w:rFonts w:ascii="Arial" w:hAnsi="Arial" w:cs="Arial"/>
                <w:i/>
                <w:sz w:val="18"/>
                <w:szCs w:val="18"/>
              </w:rPr>
              <w:t xml:space="preserve">, sofern der betreffende Mitgliedsstaat durch geeignete Mittel wie die Trennung der Tätigkeiten oder die Unterscheidung der Kosten sicherstellt, dass die Förderung der Straßengüterverkehrstätigkeit 100.000 </w:t>
            </w:r>
            <w:r w:rsidRPr="004D7C7A">
              <w:rPr>
                <w:rFonts w:ascii="Arial" w:hAnsi="Arial" w:cs="Arial"/>
                <w:i/>
                <w:sz w:val="18"/>
                <w:szCs w:val="18"/>
              </w:rPr>
              <w:t>€</w:t>
            </w:r>
            <w:r>
              <w:rPr>
                <w:rFonts w:ascii="Arial" w:hAnsi="Arial" w:cs="Arial"/>
                <w:i/>
                <w:sz w:val="18"/>
                <w:szCs w:val="18"/>
              </w:rPr>
              <w:t xml:space="preserve"> nicht übersteigt und dass keine De-minimis-Beihilfen für den Erwerb von Fahrzeugen für den Straßengüterverkehr verwendet werden.</w:t>
            </w:r>
          </w:p>
        </w:tc>
        <w:tc>
          <w:tcPr>
            <w:tcW w:w="1492" w:type="dxa"/>
          </w:tcPr>
          <w:p w14:paraId="77FBF943" w14:textId="77777777" w:rsidR="00205C56" w:rsidRPr="00866337" w:rsidRDefault="00205C56" w:rsidP="001A22AC">
            <w:pPr>
              <w:tabs>
                <w:tab w:val="left" w:pos="1772"/>
                <w:tab w:val="left" w:pos="4324"/>
              </w:tabs>
              <w:spacing w:before="120" w:after="120" w:line="240" w:lineRule="auto"/>
              <w:jc w:val="both"/>
              <w:rPr>
                <w:rFonts w:cs="Arial"/>
                <w:sz w:val="18"/>
                <w:szCs w:val="18"/>
              </w:rPr>
            </w:pPr>
            <w:r w:rsidRPr="00866337">
              <w:rPr>
                <w:rFonts w:cs="Arial"/>
                <w:sz w:val="18"/>
                <w:szCs w:val="18"/>
              </w:rPr>
              <w:fldChar w:fldCharType="begin">
                <w:ffData>
                  <w:name w:val=""/>
                  <w:enabled/>
                  <w:calcOnExit w:val="0"/>
                  <w:checkBox>
                    <w:size w:val="24"/>
                    <w:default w:val="0"/>
                  </w:checkBox>
                </w:ffData>
              </w:fldChar>
            </w:r>
            <w:r w:rsidRPr="00866337">
              <w:rPr>
                <w:rFonts w:cs="Arial"/>
                <w:sz w:val="18"/>
                <w:szCs w:val="18"/>
              </w:rPr>
              <w:instrText xml:space="preserve"> FORMCHECKBOX </w:instrText>
            </w:r>
            <w:r w:rsidR="00C001C4">
              <w:rPr>
                <w:rFonts w:cs="Arial"/>
                <w:sz w:val="18"/>
                <w:szCs w:val="18"/>
              </w:rPr>
            </w:r>
            <w:r w:rsidR="00C001C4">
              <w:rPr>
                <w:rFonts w:cs="Arial"/>
                <w:sz w:val="18"/>
                <w:szCs w:val="18"/>
              </w:rPr>
              <w:fldChar w:fldCharType="separate"/>
            </w:r>
            <w:r w:rsidRPr="00866337">
              <w:rPr>
                <w:rFonts w:cs="Arial"/>
                <w:sz w:val="18"/>
                <w:szCs w:val="18"/>
              </w:rPr>
              <w:fldChar w:fldCharType="end"/>
            </w:r>
            <w:r w:rsidRPr="00866337">
              <w:rPr>
                <w:rFonts w:cs="Arial"/>
                <w:sz w:val="18"/>
                <w:szCs w:val="18"/>
              </w:rPr>
              <w:t xml:space="preserve"> ja   </w:t>
            </w:r>
            <w:r w:rsidRPr="00866337">
              <w:rPr>
                <w:rFonts w:cs="Arial"/>
                <w:sz w:val="18"/>
                <w:szCs w:val="18"/>
              </w:rPr>
              <w:fldChar w:fldCharType="begin">
                <w:ffData>
                  <w:name w:val=""/>
                  <w:enabled/>
                  <w:calcOnExit w:val="0"/>
                  <w:checkBox>
                    <w:size w:val="24"/>
                    <w:default w:val="0"/>
                  </w:checkBox>
                </w:ffData>
              </w:fldChar>
            </w:r>
            <w:r w:rsidRPr="00866337">
              <w:rPr>
                <w:rFonts w:cs="Arial"/>
                <w:sz w:val="18"/>
                <w:szCs w:val="18"/>
              </w:rPr>
              <w:instrText xml:space="preserve"> FORMCHECKBOX </w:instrText>
            </w:r>
            <w:r w:rsidR="00C001C4">
              <w:rPr>
                <w:rFonts w:cs="Arial"/>
                <w:sz w:val="18"/>
                <w:szCs w:val="18"/>
              </w:rPr>
            </w:r>
            <w:r w:rsidR="00C001C4">
              <w:rPr>
                <w:rFonts w:cs="Arial"/>
                <w:sz w:val="18"/>
                <w:szCs w:val="18"/>
              </w:rPr>
              <w:fldChar w:fldCharType="separate"/>
            </w:r>
            <w:r w:rsidRPr="00866337">
              <w:rPr>
                <w:rFonts w:cs="Arial"/>
                <w:sz w:val="18"/>
                <w:szCs w:val="18"/>
              </w:rPr>
              <w:fldChar w:fldCharType="end"/>
            </w:r>
            <w:r w:rsidRPr="00866337">
              <w:rPr>
                <w:rFonts w:cs="Arial"/>
                <w:sz w:val="18"/>
                <w:szCs w:val="18"/>
              </w:rPr>
              <w:t xml:space="preserve"> nein</w:t>
            </w:r>
          </w:p>
        </w:tc>
      </w:tr>
      <w:tr w:rsidR="00205C56" w:rsidRPr="003E2711" w14:paraId="71ECF120" w14:textId="77777777" w:rsidTr="001A22AC">
        <w:trPr>
          <w:trHeight w:val="440"/>
        </w:trPr>
        <w:tc>
          <w:tcPr>
            <w:tcW w:w="7939" w:type="dxa"/>
          </w:tcPr>
          <w:p w14:paraId="2E4753B5" w14:textId="77777777" w:rsidR="00205C56" w:rsidRPr="00774626" w:rsidRDefault="00205C56" w:rsidP="001A22AC">
            <w:pPr>
              <w:pStyle w:val="Listenabsatz"/>
              <w:spacing w:before="120" w:after="120" w:line="240" w:lineRule="auto"/>
              <w:ind w:left="426"/>
              <w:jc w:val="both"/>
              <w:rPr>
                <w:rFonts w:ascii="Arial" w:hAnsi="Arial" w:cs="Arial"/>
                <w:sz w:val="20"/>
                <w:szCs w:val="20"/>
              </w:rPr>
            </w:pPr>
            <w:r w:rsidRPr="00774626">
              <w:rPr>
                <w:rFonts w:ascii="Arial" w:hAnsi="Arial" w:cs="Arial"/>
                <w:sz w:val="20"/>
                <w:szCs w:val="20"/>
              </w:rPr>
              <w:t xml:space="preserve">Sofern eine Kumulierung mit Beihilfen nach anderen Beihilfenvorschriften erfolgt ist, wurden die zulässigen </w:t>
            </w:r>
            <w:r w:rsidRPr="00774626">
              <w:rPr>
                <w:rFonts w:ascii="Arial" w:hAnsi="Arial" w:cs="Arial"/>
                <w:bCs/>
                <w:sz w:val="20"/>
                <w:szCs w:val="20"/>
              </w:rPr>
              <w:t>Beihilfenhöchstintensitäten beachtet</w:t>
            </w:r>
            <w:r>
              <w:rPr>
                <w:rFonts w:ascii="Arial" w:hAnsi="Arial" w:cs="Arial"/>
                <w:sz w:val="20"/>
                <w:szCs w:val="20"/>
              </w:rPr>
              <w:t xml:space="preserve"> (vgl. Art. 5 De-minimis-VO)</w:t>
            </w:r>
          </w:p>
          <w:p w14:paraId="016317AE" w14:textId="77777777" w:rsidR="00205C56" w:rsidRPr="003E5CD9" w:rsidRDefault="00205C56" w:rsidP="001A22AC">
            <w:pPr>
              <w:spacing w:before="120" w:after="120" w:line="240" w:lineRule="auto"/>
              <w:jc w:val="both"/>
              <w:rPr>
                <w:rFonts w:ascii="Arial" w:hAnsi="Arial" w:cs="Arial"/>
                <w:i/>
                <w:sz w:val="18"/>
                <w:szCs w:val="18"/>
              </w:rPr>
            </w:pPr>
          </w:p>
          <w:p w14:paraId="51902848" w14:textId="77777777" w:rsidR="00205C56" w:rsidRPr="00774626" w:rsidRDefault="00205C56" w:rsidP="001A22AC">
            <w:pPr>
              <w:pStyle w:val="Listenabsatz"/>
              <w:spacing w:before="120" w:after="120" w:line="240" w:lineRule="auto"/>
              <w:ind w:left="426"/>
              <w:jc w:val="both"/>
              <w:rPr>
                <w:rFonts w:ascii="Arial" w:hAnsi="Arial" w:cs="Arial"/>
                <w:i/>
                <w:sz w:val="18"/>
                <w:szCs w:val="18"/>
              </w:rPr>
            </w:pPr>
            <w:r w:rsidRPr="00774626">
              <w:rPr>
                <w:rFonts w:ascii="Arial" w:hAnsi="Arial" w:cs="Arial"/>
                <w:i/>
                <w:sz w:val="18"/>
                <w:szCs w:val="18"/>
              </w:rPr>
              <w:t>Hinweis: Falls aufgrund der Zusammenrechnung der Beihilfen die maximale Beihilfenintensität der anderen Beihilfenvorschrift überschritten werden sollte, ist die Kumulierung verboten. Es wäre nur bis zur maximalen Beihilfeintensität eine Förderung möglich.</w:t>
            </w:r>
          </w:p>
        </w:tc>
        <w:tc>
          <w:tcPr>
            <w:tcW w:w="1492" w:type="dxa"/>
          </w:tcPr>
          <w:p w14:paraId="2266233B" w14:textId="77777777" w:rsidR="00205C56" w:rsidRPr="00866337" w:rsidRDefault="00205C56" w:rsidP="001A22AC">
            <w:pPr>
              <w:tabs>
                <w:tab w:val="left" w:pos="1772"/>
                <w:tab w:val="left" w:pos="4324"/>
              </w:tabs>
              <w:spacing w:before="120" w:after="120" w:line="240" w:lineRule="auto"/>
              <w:jc w:val="both"/>
              <w:rPr>
                <w:rFonts w:cs="Arial"/>
                <w:sz w:val="18"/>
                <w:szCs w:val="18"/>
              </w:rPr>
            </w:pPr>
            <w:r w:rsidRPr="00866337">
              <w:rPr>
                <w:rFonts w:cs="Arial"/>
                <w:sz w:val="18"/>
                <w:szCs w:val="18"/>
              </w:rPr>
              <w:fldChar w:fldCharType="begin">
                <w:ffData>
                  <w:name w:val=""/>
                  <w:enabled/>
                  <w:calcOnExit w:val="0"/>
                  <w:checkBox>
                    <w:size w:val="24"/>
                    <w:default w:val="0"/>
                  </w:checkBox>
                </w:ffData>
              </w:fldChar>
            </w:r>
            <w:r w:rsidRPr="00866337">
              <w:rPr>
                <w:rFonts w:cs="Arial"/>
                <w:sz w:val="18"/>
                <w:szCs w:val="18"/>
              </w:rPr>
              <w:instrText xml:space="preserve"> FORMCHECKBOX </w:instrText>
            </w:r>
            <w:r w:rsidR="00C001C4">
              <w:rPr>
                <w:rFonts w:cs="Arial"/>
                <w:sz w:val="18"/>
                <w:szCs w:val="18"/>
              </w:rPr>
            </w:r>
            <w:r w:rsidR="00C001C4">
              <w:rPr>
                <w:rFonts w:cs="Arial"/>
                <w:sz w:val="18"/>
                <w:szCs w:val="18"/>
              </w:rPr>
              <w:fldChar w:fldCharType="separate"/>
            </w:r>
            <w:r w:rsidRPr="00866337">
              <w:rPr>
                <w:rFonts w:cs="Arial"/>
                <w:sz w:val="18"/>
                <w:szCs w:val="18"/>
              </w:rPr>
              <w:fldChar w:fldCharType="end"/>
            </w:r>
            <w:r w:rsidRPr="00866337">
              <w:rPr>
                <w:rFonts w:cs="Arial"/>
                <w:sz w:val="18"/>
                <w:szCs w:val="18"/>
              </w:rPr>
              <w:t xml:space="preserve"> ja   </w:t>
            </w:r>
            <w:r w:rsidRPr="00866337">
              <w:rPr>
                <w:rFonts w:cs="Arial"/>
                <w:sz w:val="18"/>
                <w:szCs w:val="18"/>
              </w:rPr>
              <w:fldChar w:fldCharType="begin">
                <w:ffData>
                  <w:name w:val=""/>
                  <w:enabled/>
                  <w:calcOnExit w:val="0"/>
                  <w:checkBox>
                    <w:size w:val="24"/>
                    <w:default w:val="0"/>
                  </w:checkBox>
                </w:ffData>
              </w:fldChar>
            </w:r>
            <w:r w:rsidRPr="00866337">
              <w:rPr>
                <w:rFonts w:cs="Arial"/>
                <w:sz w:val="18"/>
                <w:szCs w:val="18"/>
              </w:rPr>
              <w:instrText xml:space="preserve"> FORMCHECKBOX </w:instrText>
            </w:r>
            <w:r w:rsidR="00C001C4">
              <w:rPr>
                <w:rFonts w:cs="Arial"/>
                <w:sz w:val="18"/>
                <w:szCs w:val="18"/>
              </w:rPr>
            </w:r>
            <w:r w:rsidR="00C001C4">
              <w:rPr>
                <w:rFonts w:cs="Arial"/>
                <w:sz w:val="18"/>
                <w:szCs w:val="18"/>
              </w:rPr>
              <w:fldChar w:fldCharType="separate"/>
            </w:r>
            <w:r w:rsidRPr="00866337">
              <w:rPr>
                <w:rFonts w:cs="Arial"/>
                <w:sz w:val="18"/>
                <w:szCs w:val="18"/>
              </w:rPr>
              <w:fldChar w:fldCharType="end"/>
            </w:r>
            <w:r w:rsidRPr="00866337">
              <w:rPr>
                <w:rFonts w:cs="Arial"/>
                <w:sz w:val="18"/>
                <w:szCs w:val="18"/>
              </w:rPr>
              <w:t xml:space="preserve"> nein</w:t>
            </w:r>
          </w:p>
          <w:p w14:paraId="436261E7" w14:textId="77777777" w:rsidR="00205C56" w:rsidRPr="00866337" w:rsidRDefault="00205C56" w:rsidP="001A22AC">
            <w:pPr>
              <w:tabs>
                <w:tab w:val="left" w:pos="1772"/>
                <w:tab w:val="left" w:pos="4324"/>
              </w:tabs>
              <w:spacing w:before="120" w:after="120" w:line="240" w:lineRule="auto"/>
              <w:jc w:val="both"/>
              <w:rPr>
                <w:rFonts w:cs="Arial"/>
                <w:sz w:val="18"/>
                <w:szCs w:val="18"/>
              </w:rPr>
            </w:pPr>
            <w:r w:rsidRPr="00866337">
              <w:rPr>
                <w:rFonts w:cs="Arial"/>
                <w:sz w:val="18"/>
                <w:szCs w:val="18"/>
              </w:rPr>
              <w:fldChar w:fldCharType="begin">
                <w:ffData>
                  <w:name w:val=""/>
                  <w:enabled/>
                  <w:calcOnExit w:val="0"/>
                  <w:checkBox>
                    <w:size w:val="24"/>
                    <w:default w:val="0"/>
                  </w:checkBox>
                </w:ffData>
              </w:fldChar>
            </w:r>
            <w:r w:rsidRPr="00866337">
              <w:rPr>
                <w:rFonts w:cs="Arial"/>
                <w:sz w:val="18"/>
                <w:szCs w:val="18"/>
              </w:rPr>
              <w:instrText xml:space="preserve"> FORMCHECKBOX </w:instrText>
            </w:r>
            <w:r w:rsidR="00C001C4">
              <w:rPr>
                <w:rFonts w:cs="Arial"/>
                <w:sz w:val="18"/>
                <w:szCs w:val="18"/>
              </w:rPr>
            </w:r>
            <w:r w:rsidR="00C001C4">
              <w:rPr>
                <w:rFonts w:cs="Arial"/>
                <w:sz w:val="18"/>
                <w:szCs w:val="18"/>
              </w:rPr>
              <w:fldChar w:fldCharType="separate"/>
            </w:r>
            <w:r w:rsidRPr="00866337">
              <w:rPr>
                <w:rFonts w:cs="Arial"/>
                <w:sz w:val="18"/>
                <w:szCs w:val="18"/>
              </w:rPr>
              <w:fldChar w:fldCharType="end"/>
            </w:r>
            <w:r w:rsidRPr="00866337">
              <w:rPr>
                <w:rFonts w:cs="Arial"/>
                <w:sz w:val="18"/>
                <w:szCs w:val="18"/>
              </w:rPr>
              <w:t xml:space="preserve"> entfällt, </w:t>
            </w:r>
          </w:p>
          <w:p w14:paraId="3052C218" w14:textId="77777777" w:rsidR="00205C56" w:rsidRPr="00866337" w:rsidRDefault="00205C56" w:rsidP="001A22AC">
            <w:pPr>
              <w:tabs>
                <w:tab w:val="left" w:pos="1772"/>
                <w:tab w:val="left" w:pos="4324"/>
              </w:tabs>
              <w:spacing w:before="120" w:after="120" w:line="240" w:lineRule="auto"/>
              <w:jc w:val="both"/>
              <w:rPr>
                <w:rFonts w:cs="Arial"/>
                <w:sz w:val="18"/>
                <w:szCs w:val="18"/>
              </w:rPr>
            </w:pPr>
            <w:r w:rsidRPr="00866337">
              <w:rPr>
                <w:rFonts w:cs="Arial"/>
                <w:sz w:val="18"/>
                <w:szCs w:val="18"/>
              </w:rPr>
              <w:t>da keine Kumulierung</w:t>
            </w:r>
          </w:p>
        </w:tc>
      </w:tr>
      <w:tr w:rsidR="00EC50D9" w:rsidRPr="003E2711" w14:paraId="138504EC" w14:textId="77777777" w:rsidTr="00774626">
        <w:trPr>
          <w:trHeight w:val="440"/>
        </w:trPr>
        <w:tc>
          <w:tcPr>
            <w:tcW w:w="7939" w:type="dxa"/>
          </w:tcPr>
          <w:p w14:paraId="1BABADBB" w14:textId="77777777" w:rsidR="00EC50D9" w:rsidRPr="00774626" w:rsidRDefault="00EC50D9" w:rsidP="00EC50D9">
            <w:pPr>
              <w:pStyle w:val="Listenabsatz"/>
              <w:spacing w:before="120" w:after="120" w:line="240" w:lineRule="auto"/>
              <w:ind w:left="426"/>
              <w:jc w:val="both"/>
              <w:rPr>
                <w:rFonts w:ascii="Arial" w:hAnsi="Arial" w:cs="Arial"/>
                <w:sz w:val="20"/>
                <w:szCs w:val="20"/>
              </w:rPr>
            </w:pPr>
            <w:r w:rsidRPr="00774626">
              <w:rPr>
                <w:rFonts w:ascii="Arial" w:hAnsi="Arial" w:cs="Arial"/>
                <w:sz w:val="20"/>
                <w:szCs w:val="20"/>
              </w:rPr>
              <w:t>Die gewährte Beihilfe ist eine transparente Beihilfe da das Bruttosubventionsäquivalent genau berechnet werden kann. Es handelt sich um eine Beihilfe in Form eines Zuschusses.</w:t>
            </w:r>
          </w:p>
        </w:tc>
        <w:tc>
          <w:tcPr>
            <w:tcW w:w="1492" w:type="dxa"/>
          </w:tcPr>
          <w:p w14:paraId="2434AAB1" w14:textId="77777777" w:rsidR="00EC50D9" w:rsidRPr="00866337" w:rsidRDefault="00EC50D9" w:rsidP="00EC50D9">
            <w:pPr>
              <w:tabs>
                <w:tab w:val="left" w:pos="1772"/>
                <w:tab w:val="left" w:pos="4324"/>
              </w:tabs>
              <w:spacing w:before="120" w:after="120" w:line="240" w:lineRule="auto"/>
              <w:jc w:val="both"/>
              <w:rPr>
                <w:rFonts w:cs="Arial"/>
                <w:sz w:val="18"/>
                <w:szCs w:val="18"/>
              </w:rPr>
            </w:pPr>
            <w:r w:rsidRPr="00866337">
              <w:rPr>
                <w:rFonts w:cs="Arial"/>
                <w:sz w:val="18"/>
                <w:szCs w:val="18"/>
              </w:rPr>
              <w:fldChar w:fldCharType="begin">
                <w:ffData>
                  <w:name w:val=""/>
                  <w:enabled/>
                  <w:calcOnExit w:val="0"/>
                  <w:checkBox>
                    <w:size w:val="24"/>
                    <w:default w:val="0"/>
                  </w:checkBox>
                </w:ffData>
              </w:fldChar>
            </w:r>
            <w:r w:rsidRPr="00866337">
              <w:rPr>
                <w:rFonts w:cs="Arial"/>
                <w:sz w:val="18"/>
                <w:szCs w:val="18"/>
              </w:rPr>
              <w:instrText xml:space="preserve"> FORMCHECKBOX </w:instrText>
            </w:r>
            <w:r w:rsidR="00C001C4">
              <w:rPr>
                <w:rFonts w:cs="Arial"/>
                <w:sz w:val="18"/>
                <w:szCs w:val="18"/>
              </w:rPr>
            </w:r>
            <w:r w:rsidR="00C001C4">
              <w:rPr>
                <w:rFonts w:cs="Arial"/>
                <w:sz w:val="18"/>
                <w:szCs w:val="18"/>
              </w:rPr>
              <w:fldChar w:fldCharType="separate"/>
            </w:r>
            <w:r w:rsidRPr="00866337">
              <w:rPr>
                <w:rFonts w:cs="Arial"/>
                <w:sz w:val="18"/>
                <w:szCs w:val="18"/>
              </w:rPr>
              <w:fldChar w:fldCharType="end"/>
            </w:r>
            <w:r w:rsidRPr="00866337">
              <w:rPr>
                <w:rFonts w:cs="Arial"/>
                <w:sz w:val="18"/>
                <w:szCs w:val="18"/>
              </w:rPr>
              <w:t xml:space="preserve"> ja   </w:t>
            </w:r>
            <w:r w:rsidRPr="00866337">
              <w:rPr>
                <w:rFonts w:cs="Arial"/>
                <w:sz w:val="18"/>
                <w:szCs w:val="18"/>
              </w:rPr>
              <w:fldChar w:fldCharType="begin">
                <w:ffData>
                  <w:name w:val=""/>
                  <w:enabled/>
                  <w:calcOnExit w:val="0"/>
                  <w:checkBox>
                    <w:size w:val="24"/>
                    <w:default w:val="0"/>
                  </w:checkBox>
                </w:ffData>
              </w:fldChar>
            </w:r>
            <w:r w:rsidRPr="00866337">
              <w:rPr>
                <w:rFonts w:cs="Arial"/>
                <w:sz w:val="18"/>
                <w:szCs w:val="18"/>
              </w:rPr>
              <w:instrText xml:space="preserve"> FORMCHECKBOX </w:instrText>
            </w:r>
            <w:r w:rsidR="00C001C4">
              <w:rPr>
                <w:rFonts w:cs="Arial"/>
                <w:sz w:val="18"/>
                <w:szCs w:val="18"/>
              </w:rPr>
            </w:r>
            <w:r w:rsidR="00C001C4">
              <w:rPr>
                <w:rFonts w:cs="Arial"/>
                <w:sz w:val="18"/>
                <w:szCs w:val="18"/>
              </w:rPr>
              <w:fldChar w:fldCharType="separate"/>
            </w:r>
            <w:r w:rsidRPr="00866337">
              <w:rPr>
                <w:rFonts w:cs="Arial"/>
                <w:sz w:val="18"/>
                <w:szCs w:val="18"/>
              </w:rPr>
              <w:fldChar w:fldCharType="end"/>
            </w:r>
            <w:r w:rsidRPr="00866337">
              <w:rPr>
                <w:rFonts w:cs="Arial"/>
                <w:sz w:val="18"/>
                <w:szCs w:val="18"/>
              </w:rPr>
              <w:t xml:space="preserve"> nein</w:t>
            </w:r>
          </w:p>
        </w:tc>
      </w:tr>
      <w:tr w:rsidR="00EC50D9" w:rsidRPr="003E2711" w14:paraId="3E3C700D" w14:textId="77777777" w:rsidTr="00774626">
        <w:trPr>
          <w:trHeight w:val="416"/>
        </w:trPr>
        <w:tc>
          <w:tcPr>
            <w:tcW w:w="9431" w:type="dxa"/>
            <w:gridSpan w:val="2"/>
          </w:tcPr>
          <w:p w14:paraId="711A832F" w14:textId="77777777" w:rsidR="00EC50D9" w:rsidRPr="00866337" w:rsidRDefault="00EC50D9" w:rsidP="00EC50D9">
            <w:pPr>
              <w:tabs>
                <w:tab w:val="left" w:pos="1772"/>
                <w:tab w:val="left" w:pos="4324"/>
              </w:tabs>
              <w:spacing w:before="120" w:after="120" w:line="240" w:lineRule="auto"/>
              <w:jc w:val="both"/>
              <w:rPr>
                <w:rFonts w:ascii="Arial" w:hAnsi="Arial" w:cs="Arial"/>
                <w:sz w:val="20"/>
                <w:szCs w:val="20"/>
              </w:rPr>
            </w:pPr>
            <w:r w:rsidRPr="00866337">
              <w:rPr>
                <w:rFonts w:ascii="Arial" w:hAnsi="Arial" w:cs="Arial"/>
                <w:sz w:val="20"/>
                <w:szCs w:val="20"/>
              </w:rPr>
              <w:t>Ergebnis:</w:t>
            </w:r>
          </w:p>
          <w:p w14:paraId="21279DC8" w14:textId="77777777" w:rsidR="00EC50D9" w:rsidRPr="00866337" w:rsidRDefault="00EC50D9" w:rsidP="00EC50D9">
            <w:pPr>
              <w:tabs>
                <w:tab w:val="left" w:pos="1772"/>
                <w:tab w:val="left" w:pos="4324"/>
              </w:tabs>
              <w:spacing w:before="120" w:after="120" w:line="240" w:lineRule="auto"/>
              <w:jc w:val="both"/>
              <w:rPr>
                <w:rFonts w:ascii="Arial" w:hAnsi="Arial" w:cs="Arial"/>
                <w:sz w:val="20"/>
                <w:szCs w:val="20"/>
              </w:rPr>
            </w:pPr>
            <w:r w:rsidRPr="00866337">
              <w:rPr>
                <w:rFonts w:ascii="Arial" w:hAnsi="Arial" w:cs="Arial"/>
                <w:sz w:val="20"/>
                <w:szCs w:val="20"/>
              </w:rPr>
              <w:fldChar w:fldCharType="begin">
                <w:ffData>
                  <w:name w:val=""/>
                  <w:enabled/>
                  <w:calcOnExit w:val="0"/>
                  <w:checkBox>
                    <w:size w:val="24"/>
                    <w:default w:val="0"/>
                  </w:checkBox>
                </w:ffData>
              </w:fldChar>
            </w:r>
            <w:r w:rsidRPr="00866337">
              <w:rPr>
                <w:rFonts w:ascii="Arial" w:hAnsi="Arial" w:cs="Arial"/>
                <w:sz w:val="20"/>
                <w:szCs w:val="20"/>
              </w:rPr>
              <w:instrText xml:space="preserve"> FORMCHECKBOX </w:instrText>
            </w:r>
            <w:r w:rsidR="00C001C4">
              <w:rPr>
                <w:rFonts w:ascii="Arial" w:hAnsi="Arial" w:cs="Arial"/>
                <w:sz w:val="20"/>
                <w:szCs w:val="20"/>
              </w:rPr>
            </w:r>
            <w:r w:rsidR="00C001C4">
              <w:rPr>
                <w:rFonts w:ascii="Arial" w:hAnsi="Arial" w:cs="Arial"/>
                <w:sz w:val="20"/>
                <w:szCs w:val="20"/>
              </w:rPr>
              <w:fldChar w:fldCharType="separate"/>
            </w:r>
            <w:r w:rsidRPr="00866337">
              <w:rPr>
                <w:rFonts w:ascii="Arial" w:hAnsi="Arial" w:cs="Arial"/>
                <w:sz w:val="20"/>
                <w:szCs w:val="20"/>
              </w:rPr>
              <w:fldChar w:fldCharType="end"/>
            </w:r>
            <w:r w:rsidRPr="00866337">
              <w:rPr>
                <w:rFonts w:ascii="Arial" w:hAnsi="Arial" w:cs="Arial"/>
                <w:sz w:val="20"/>
                <w:szCs w:val="20"/>
              </w:rPr>
              <w:t xml:space="preserve"> Förderung gemäß der De-minimis-VO möglich.</w:t>
            </w:r>
          </w:p>
          <w:p w14:paraId="07DCD74E" w14:textId="77777777" w:rsidR="00EC50D9" w:rsidRPr="00866337" w:rsidRDefault="00EC50D9" w:rsidP="00352C31">
            <w:pPr>
              <w:tabs>
                <w:tab w:val="left" w:pos="1772"/>
                <w:tab w:val="left" w:pos="4324"/>
              </w:tabs>
              <w:spacing w:before="120" w:after="120" w:line="240" w:lineRule="auto"/>
              <w:jc w:val="both"/>
              <w:rPr>
                <w:rFonts w:cs="Arial"/>
                <w:b/>
                <w:sz w:val="18"/>
                <w:szCs w:val="18"/>
              </w:rPr>
            </w:pPr>
            <w:r w:rsidRPr="00866337">
              <w:rPr>
                <w:rFonts w:ascii="Arial" w:hAnsi="Arial" w:cs="Arial"/>
                <w:sz w:val="20"/>
                <w:szCs w:val="20"/>
              </w:rPr>
              <w:fldChar w:fldCharType="begin">
                <w:ffData>
                  <w:name w:val=""/>
                  <w:enabled/>
                  <w:calcOnExit w:val="0"/>
                  <w:checkBox>
                    <w:size w:val="24"/>
                    <w:default w:val="0"/>
                  </w:checkBox>
                </w:ffData>
              </w:fldChar>
            </w:r>
            <w:r w:rsidRPr="00866337">
              <w:rPr>
                <w:rFonts w:ascii="Arial" w:hAnsi="Arial" w:cs="Arial"/>
                <w:sz w:val="20"/>
                <w:szCs w:val="20"/>
              </w:rPr>
              <w:instrText xml:space="preserve"> FORMCHECKBOX </w:instrText>
            </w:r>
            <w:r w:rsidR="00C001C4">
              <w:rPr>
                <w:rFonts w:ascii="Arial" w:hAnsi="Arial" w:cs="Arial"/>
                <w:sz w:val="20"/>
                <w:szCs w:val="20"/>
              </w:rPr>
            </w:r>
            <w:r w:rsidR="00C001C4">
              <w:rPr>
                <w:rFonts w:ascii="Arial" w:hAnsi="Arial" w:cs="Arial"/>
                <w:sz w:val="20"/>
                <w:szCs w:val="20"/>
              </w:rPr>
              <w:fldChar w:fldCharType="separate"/>
            </w:r>
            <w:r w:rsidRPr="00866337">
              <w:rPr>
                <w:rFonts w:ascii="Arial" w:hAnsi="Arial" w:cs="Arial"/>
                <w:sz w:val="20"/>
                <w:szCs w:val="20"/>
              </w:rPr>
              <w:fldChar w:fldCharType="end"/>
            </w:r>
            <w:r w:rsidRPr="00866337">
              <w:rPr>
                <w:rFonts w:ascii="Arial" w:hAnsi="Arial" w:cs="Arial"/>
                <w:sz w:val="20"/>
                <w:szCs w:val="20"/>
              </w:rPr>
              <w:t xml:space="preserve"> Keine Förderung gemäß De-minimis-VO möglich.</w:t>
            </w:r>
          </w:p>
        </w:tc>
      </w:tr>
    </w:tbl>
    <w:p w14:paraId="2FA37CB6" w14:textId="77777777" w:rsidR="00382143" w:rsidRDefault="00382143" w:rsidP="00A6668F"/>
    <w:p w14:paraId="2DF431BA" w14:textId="77777777" w:rsidR="00A214DF" w:rsidRPr="006F3378" w:rsidRDefault="00A214DF" w:rsidP="00A214DF">
      <w:pPr>
        <w:spacing w:line="240" w:lineRule="auto"/>
        <w:jc w:val="both"/>
        <w:rPr>
          <w:rFonts w:ascii="Arial" w:hAnsi="Arial" w:cs="Arial"/>
          <w:sz w:val="20"/>
          <w:szCs w:val="20"/>
        </w:rPr>
      </w:pPr>
    </w:p>
    <w:p w14:paraId="0C247DB9" w14:textId="77777777" w:rsidR="00A214DF" w:rsidRPr="006F3378" w:rsidRDefault="00FA0009" w:rsidP="00A214DF">
      <w:pPr>
        <w:spacing w:after="0" w:line="240" w:lineRule="auto"/>
        <w:jc w:val="both"/>
        <w:rPr>
          <w:rFonts w:ascii="Arial" w:hAnsi="Arial" w:cs="Arial"/>
          <w:sz w:val="20"/>
          <w:szCs w:val="20"/>
        </w:rPr>
      </w:pPr>
      <w:r>
        <w:rPr>
          <w:rFonts w:ascii="Arial" w:hAnsi="Arial" w:cs="Arial"/>
          <w:sz w:val="20"/>
          <w:szCs w:val="20"/>
        </w:rPr>
        <w:t>________</w:t>
      </w:r>
      <w:r w:rsidR="00A214DF" w:rsidRPr="006F3378">
        <w:rPr>
          <w:rFonts w:ascii="Arial" w:hAnsi="Arial" w:cs="Arial"/>
          <w:sz w:val="20"/>
          <w:szCs w:val="20"/>
        </w:rPr>
        <w:t>, den________________</w:t>
      </w:r>
      <w:r w:rsidR="00A214DF" w:rsidRPr="006F3378">
        <w:rPr>
          <w:rFonts w:ascii="Arial" w:hAnsi="Arial" w:cs="Arial"/>
          <w:sz w:val="20"/>
          <w:szCs w:val="20"/>
        </w:rPr>
        <w:tab/>
      </w:r>
      <w:r w:rsidR="00A214DF" w:rsidRPr="006F3378">
        <w:rPr>
          <w:rFonts w:ascii="Arial" w:hAnsi="Arial" w:cs="Arial"/>
          <w:sz w:val="20"/>
          <w:szCs w:val="20"/>
        </w:rPr>
        <w:tab/>
      </w:r>
      <w:r w:rsidR="00A214DF" w:rsidRPr="006F3378">
        <w:rPr>
          <w:rFonts w:ascii="Arial" w:hAnsi="Arial" w:cs="Arial"/>
          <w:sz w:val="20"/>
          <w:szCs w:val="20"/>
        </w:rPr>
        <w:tab/>
      </w:r>
      <w:r w:rsidR="00A214DF" w:rsidRPr="006F3378">
        <w:rPr>
          <w:rFonts w:ascii="Arial" w:hAnsi="Arial" w:cs="Arial"/>
          <w:sz w:val="20"/>
          <w:szCs w:val="20"/>
        </w:rPr>
        <w:tab/>
        <w:t>___________________</w:t>
      </w:r>
    </w:p>
    <w:p w14:paraId="6EF7CAD1" w14:textId="77777777" w:rsidR="00A214DF" w:rsidRDefault="00A214DF" w:rsidP="00A214DF">
      <w:pPr>
        <w:spacing w:after="0" w:line="240" w:lineRule="auto"/>
        <w:jc w:val="both"/>
        <w:rPr>
          <w:rFonts w:ascii="Arial" w:hAnsi="Arial" w:cs="Arial"/>
          <w:sz w:val="20"/>
          <w:szCs w:val="20"/>
        </w:rPr>
      </w:pPr>
      <w:r w:rsidRPr="006F3378">
        <w:rPr>
          <w:rFonts w:ascii="Arial" w:hAnsi="Arial" w:cs="Arial"/>
          <w:sz w:val="20"/>
          <w:szCs w:val="20"/>
        </w:rPr>
        <w:tab/>
      </w:r>
      <w:r w:rsidRPr="006F3378">
        <w:rPr>
          <w:rFonts w:ascii="Arial" w:hAnsi="Arial" w:cs="Arial"/>
          <w:sz w:val="20"/>
          <w:szCs w:val="20"/>
        </w:rPr>
        <w:tab/>
      </w:r>
      <w:r w:rsidRPr="006F3378">
        <w:rPr>
          <w:rFonts w:ascii="Arial" w:hAnsi="Arial" w:cs="Arial"/>
          <w:sz w:val="20"/>
          <w:szCs w:val="20"/>
        </w:rPr>
        <w:tab/>
      </w:r>
      <w:r w:rsidRPr="006F3378">
        <w:rPr>
          <w:rFonts w:ascii="Arial" w:hAnsi="Arial" w:cs="Arial"/>
          <w:sz w:val="20"/>
          <w:szCs w:val="20"/>
        </w:rPr>
        <w:tab/>
      </w:r>
      <w:r w:rsidRPr="006F3378">
        <w:rPr>
          <w:rFonts w:ascii="Arial" w:hAnsi="Arial" w:cs="Arial"/>
          <w:sz w:val="20"/>
          <w:szCs w:val="20"/>
        </w:rPr>
        <w:tab/>
      </w:r>
      <w:r w:rsidRPr="006F3378">
        <w:rPr>
          <w:rFonts w:ascii="Arial" w:hAnsi="Arial" w:cs="Arial"/>
          <w:sz w:val="20"/>
          <w:szCs w:val="20"/>
        </w:rPr>
        <w:tab/>
      </w:r>
      <w:r w:rsidRPr="006F3378">
        <w:rPr>
          <w:rFonts w:ascii="Arial" w:hAnsi="Arial" w:cs="Arial"/>
          <w:sz w:val="20"/>
          <w:szCs w:val="20"/>
        </w:rPr>
        <w:tab/>
      </w:r>
      <w:r w:rsidRPr="006F3378">
        <w:rPr>
          <w:rFonts w:ascii="Arial" w:hAnsi="Arial" w:cs="Arial"/>
          <w:sz w:val="20"/>
          <w:szCs w:val="20"/>
        </w:rPr>
        <w:tab/>
        <w:t>(Unterschrift)</w:t>
      </w:r>
    </w:p>
    <w:p w14:paraId="332C9F00" w14:textId="77777777" w:rsidR="00A214DF" w:rsidRDefault="00A214DF" w:rsidP="00A214DF">
      <w:pPr>
        <w:spacing w:after="0" w:line="240" w:lineRule="auto"/>
        <w:jc w:val="both"/>
        <w:rPr>
          <w:rFonts w:ascii="Arial" w:hAnsi="Arial" w:cs="Arial"/>
          <w:sz w:val="20"/>
          <w:szCs w:val="20"/>
        </w:rPr>
      </w:pPr>
    </w:p>
    <w:p w14:paraId="51DC8C34" w14:textId="77777777" w:rsidR="00A214DF" w:rsidRDefault="00A214DF" w:rsidP="00A214DF">
      <w:pPr>
        <w:spacing w:after="0" w:line="240" w:lineRule="auto"/>
        <w:jc w:val="both"/>
        <w:rPr>
          <w:rFonts w:ascii="Arial" w:hAnsi="Arial" w:cs="Arial"/>
          <w:sz w:val="20"/>
          <w:szCs w:val="20"/>
        </w:rPr>
      </w:pPr>
    </w:p>
    <w:p w14:paraId="470BB6C9" w14:textId="77777777" w:rsidR="00371E0D" w:rsidRPr="00A6668F" w:rsidRDefault="00371E0D" w:rsidP="00A214DF"/>
    <w:sectPr w:rsidR="00371E0D" w:rsidRPr="00A6668F" w:rsidSect="00EE582E">
      <w:footerReference w:type="default" r:id="rId8"/>
      <w:headerReference w:type="first" r:id="rId9"/>
      <w:foot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ECF57" w14:textId="77777777" w:rsidR="005F46AF" w:rsidRDefault="005F46AF" w:rsidP="009E2483">
      <w:pPr>
        <w:spacing w:after="0" w:line="240" w:lineRule="auto"/>
      </w:pPr>
      <w:r>
        <w:separator/>
      </w:r>
    </w:p>
  </w:endnote>
  <w:endnote w:type="continuationSeparator" w:id="0">
    <w:p w14:paraId="7AE79963" w14:textId="77777777" w:rsidR="005F46AF" w:rsidRDefault="005F46AF" w:rsidP="009E2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EUAlbertina-Regu">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289914"/>
      <w:docPartObj>
        <w:docPartGallery w:val="Page Numbers (Bottom of Page)"/>
        <w:docPartUnique/>
      </w:docPartObj>
    </w:sdtPr>
    <w:sdtEndPr/>
    <w:sdtContent>
      <w:p w14:paraId="614AAA17" w14:textId="77777777" w:rsidR="00D9035C" w:rsidRDefault="00D9035C" w:rsidP="0099637B">
        <w:pPr>
          <w:pStyle w:val="Fuzeile"/>
          <w:jc w:val="center"/>
        </w:pPr>
        <w:r>
          <w:fldChar w:fldCharType="begin"/>
        </w:r>
        <w:r>
          <w:instrText>PAGE   \* MERGEFORMAT</w:instrText>
        </w:r>
        <w:r>
          <w:fldChar w:fldCharType="separate"/>
        </w:r>
        <w:r w:rsidR="0096447A">
          <w:rPr>
            <w:noProof/>
          </w:rPr>
          <w:t>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992816"/>
      <w:docPartObj>
        <w:docPartGallery w:val="Page Numbers (Bottom of Page)"/>
        <w:docPartUnique/>
      </w:docPartObj>
    </w:sdtPr>
    <w:sdtEndPr/>
    <w:sdtContent>
      <w:p w14:paraId="08FF3715" w14:textId="77777777" w:rsidR="00D9035C" w:rsidRDefault="00D9035C" w:rsidP="0099637B">
        <w:pPr>
          <w:pStyle w:val="Fuzeile"/>
          <w:jc w:val="center"/>
        </w:pPr>
        <w:r>
          <w:fldChar w:fldCharType="begin"/>
        </w:r>
        <w:r>
          <w:instrText>PAGE   \* MERGEFORMAT</w:instrText>
        </w:r>
        <w:r>
          <w:fldChar w:fldCharType="separate"/>
        </w:r>
        <w:r w:rsidR="0096447A">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6C0E5" w14:textId="77777777" w:rsidR="005F46AF" w:rsidRDefault="005F46AF" w:rsidP="009E2483">
      <w:pPr>
        <w:spacing w:after="0" w:line="240" w:lineRule="auto"/>
      </w:pPr>
      <w:r>
        <w:separator/>
      </w:r>
    </w:p>
  </w:footnote>
  <w:footnote w:type="continuationSeparator" w:id="0">
    <w:p w14:paraId="211E0353" w14:textId="77777777" w:rsidR="005F46AF" w:rsidRDefault="005F46AF" w:rsidP="009E2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251E" w14:textId="693628E2" w:rsidR="006F3B04" w:rsidRDefault="00B55222" w:rsidP="00232267">
    <w:pPr>
      <w:pStyle w:val="Kopfzeile"/>
      <w:jc w:val="right"/>
    </w:pPr>
    <w:r>
      <w:rPr>
        <w:noProof/>
      </w:rPr>
      <w:drawing>
        <wp:inline distT="0" distB="0" distL="0" distR="0" wp14:anchorId="297F0414" wp14:editId="7B1FC3A3">
          <wp:extent cx="1409700" cy="3524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409700" cy="352425"/>
                  </a:xfrm>
                  <a:prstGeom prst="rect">
                    <a:avLst/>
                  </a:prstGeom>
                </pic:spPr>
              </pic:pic>
            </a:graphicData>
          </a:graphic>
        </wp:inline>
      </w:drawing>
    </w:r>
  </w:p>
  <w:p w14:paraId="72567E53" w14:textId="77777777" w:rsidR="006F3B04" w:rsidRDefault="006F3B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5B89"/>
    <w:multiLevelType w:val="hybridMultilevel"/>
    <w:tmpl w:val="16482F9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CAC4F52"/>
    <w:multiLevelType w:val="hybridMultilevel"/>
    <w:tmpl w:val="6E88CF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912011"/>
    <w:multiLevelType w:val="hybridMultilevel"/>
    <w:tmpl w:val="44CC967A"/>
    <w:lvl w:ilvl="0" w:tplc="DF987AD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D0733D"/>
    <w:multiLevelType w:val="hybridMultilevel"/>
    <w:tmpl w:val="6F78AF26"/>
    <w:lvl w:ilvl="0" w:tplc="828A5CAA">
      <w:start w:val="4"/>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B1A5E70"/>
    <w:multiLevelType w:val="hybridMultilevel"/>
    <w:tmpl w:val="8F8E9D68"/>
    <w:lvl w:ilvl="0" w:tplc="56CE8284">
      <w:start w:val="27"/>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1BFA067B"/>
    <w:multiLevelType w:val="hybridMultilevel"/>
    <w:tmpl w:val="A44EB15E"/>
    <w:lvl w:ilvl="0" w:tplc="22080448">
      <w:numFmt w:val="bullet"/>
      <w:lvlText w:val="-"/>
      <w:lvlJc w:val="left"/>
      <w:pPr>
        <w:ind w:left="720" w:hanging="360"/>
      </w:pPr>
      <w:rPr>
        <w:rFonts w:ascii="Univers" w:eastAsiaTheme="minorHAnsi" w:hAnsi="Univers" w:cs="Univers" w:hint="default"/>
        <w:sz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054D01"/>
    <w:multiLevelType w:val="hybridMultilevel"/>
    <w:tmpl w:val="76DC3670"/>
    <w:lvl w:ilvl="0" w:tplc="16A07BE4">
      <w:start w:val="1"/>
      <w:numFmt w:val="decimal"/>
      <w:lvlText w:val="%1."/>
      <w:lvlJc w:val="left"/>
      <w:pPr>
        <w:ind w:left="1429" w:hanging="72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7" w15:restartNumberingAfterBreak="0">
    <w:nsid w:val="26E253BA"/>
    <w:multiLevelType w:val="hybridMultilevel"/>
    <w:tmpl w:val="AFFA74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6FA1174"/>
    <w:multiLevelType w:val="hybridMultilevel"/>
    <w:tmpl w:val="2AF2F2BC"/>
    <w:lvl w:ilvl="0" w:tplc="881896E4">
      <w:numFmt w:val="bullet"/>
      <w:lvlText w:val="-"/>
      <w:lvlJc w:val="left"/>
      <w:pPr>
        <w:ind w:left="786" w:hanging="360"/>
      </w:pPr>
      <w:rPr>
        <w:rFonts w:ascii="Arial" w:eastAsiaTheme="minorHAnsi"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15:restartNumberingAfterBreak="0">
    <w:nsid w:val="28C41FE4"/>
    <w:multiLevelType w:val="hybridMultilevel"/>
    <w:tmpl w:val="23CE1202"/>
    <w:lvl w:ilvl="0" w:tplc="04070017">
      <w:start w:val="1"/>
      <w:numFmt w:val="lowerLetter"/>
      <w:lvlText w:val="%1)"/>
      <w:lvlJc w:val="left"/>
      <w:pPr>
        <w:ind w:left="720" w:hanging="360"/>
      </w:pPr>
      <w:rPr>
        <w:rFonts w:hint="default"/>
      </w:rPr>
    </w:lvl>
    <w:lvl w:ilvl="1" w:tplc="15C45994">
      <w:start w:val="5"/>
      <w:numFmt w:val="bullet"/>
      <w:lvlText w:val="-"/>
      <w:lvlJc w:val="left"/>
      <w:pPr>
        <w:ind w:left="1440" w:hanging="360"/>
      </w:pPr>
      <w:rPr>
        <w:rFonts w:ascii="Arial" w:eastAsiaTheme="minorHAnsi"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4F4AE7"/>
    <w:multiLevelType w:val="hybridMultilevel"/>
    <w:tmpl w:val="7332A416"/>
    <w:lvl w:ilvl="0" w:tplc="0CEAD40C">
      <w:start w:val="5"/>
      <w:numFmt w:val="bullet"/>
      <w:lvlText w:val="-"/>
      <w:lvlJc w:val="left"/>
      <w:pPr>
        <w:ind w:left="720" w:hanging="360"/>
      </w:pPr>
      <w:rPr>
        <w:rFonts w:ascii="Calibri" w:eastAsiaTheme="minorHAnsi"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A5541B"/>
    <w:multiLevelType w:val="hybridMultilevel"/>
    <w:tmpl w:val="11B49A9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E466572"/>
    <w:multiLevelType w:val="hybridMultilevel"/>
    <w:tmpl w:val="E6D4F742"/>
    <w:lvl w:ilvl="0" w:tplc="8120142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B05CD0"/>
    <w:multiLevelType w:val="hybridMultilevel"/>
    <w:tmpl w:val="AFFA74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6B03FE4"/>
    <w:multiLevelType w:val="hybridMultilevel"/>
    <w:tmpl w:val="6BDE8D4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D0E4D75"/>
    <w:multiLevelType w:val="hybridMultilevel"/>
    <w:tmpl w:val="C810A85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547859D6"/>
    <w:multiLevelType w:val="hybridMultilevel"/>
    <w:tmpl w:val="55EEDC84"/>
    <w:lvl w:ilvl="0" w:tplc="B0C8733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4FE5B84"/>
    <w:multiLevelType w:val="hybridMultilevel"/>
    <w:tmpl w:val="F3A4741E"/>
    <w:lvl w:ilvl="0" w:tplc="EAB84838">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7A5186"/>
    <w:multiLevelType w:val="hybridMultilevel"/>
    <w:tmpl w:val="B6BE3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9304D11"/>
    <w:multiLevelType w:val="hybridMultilevel"/>
    <w:tmpl w:val="6AF25E62"/>
    <w:lvl w:ilvl="0" w:tplc="72049902">
      <w:start w:val="2"/>
      <w:numFmt w:val="bullet"/>
      <w:lvlText w:val="-"/>
      <w:lvlJc w:val="left"/>
      <w:pPr>
        <w:ind w:left="1069" w:hanging="360"/>
      </w:pPr>
      <w:rPr>
        <w:rFonts w:ascii="Calibri" w:eastAsiaTheme="minorHAnsi" w:hAnsi="Calibri" w:cstheme="minorBidi"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0" w15:restartNumberingAfterBreak="0">
    <w:nsid w:val="5C91635C"/>
    <w:multiLevelType w:val="hybridMultilevel"/>
    <w:tmpl w:val="398E4D8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626E7426"/>
    <w:multiLevelType w:val="hybridMultilevel"/>
    <w:tmpl w:val="51664D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B23BD7"/>
    <w:multiLevelType w:val="hybridMultilevel"/>
    <w:tmpl w:val="51664D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9785DB0"/>
    <w:multiLevelType w:val="hybridMultilevel"/>
    <w:tmpl w:val="F558BE90"/>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B685138"/>
    <w:multiLevelType w:val="hybridMultilevel"/>
    <w:tmpl w:val="1AEE960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BB13DCB"/>
    <w:multiLevelType w:val="hybridMultilevel"/>
    <w:tmpl w:val="8D660666"/>
    <w:lvl w:ilvl="0" w:tplc="DA16259E">
      <w:numFmt w:val="bullet"/>
      <w:lvlText w:val="-"/>
      <w:lvlJc w:val="left"/>
      <w:pPr>
        <w:ind w:left="720" w:hanging="360"/>
      </w:pPr>
      <w:rPr>
        <w:rFonts w:ascii="EUAlbertina-Regu" w:eastAsiaTheme="minorHAnsi" w:hAnsi="EUAlbertina-Regu" w:cs="EUAlbertina-Regu"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31C3DD6"/>
    <w:multiLevelType w:val="hybridMultilevel"/>
    <w:tmpl w:val="3C3404D6"/>
    <w:lvl w:ilvl="0" w:tplc="16E0E420">
      <w:start w:val="1"/>
      <w:numFmt w:val="decimal"/>
      <w:lvlText w:val="%1."/>
      <w:lvlJc w:val="left"/>
      <w:pPr>
        <w:ind w:left="708" w:hanging="708"/>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743556D0"/>
    <w:multiLevelType w:val="hybridMultilevel"/>
    <w:tmpl w:val="C992646A"/>
    <w:lvl w:ilvl="0" w:tplc="A0E62DD8">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76E907F2"/>
    <w:multiLevelType w:val="hybridMultilevel"/>
    <w:tmpl w:val="990AB212"/>
    <w:lvl w:ilvl="0" w:tplc="D22A532E">
      <w:start w:val="1"/>
      <w:numFmt w:val="lowerRoman"/>
      <w:lvlText w:val="%1)"/>
      <w:lvlJc w:val="left"/>
      <w:pPr>
        <w:ind w:left="2160" w:hanging="72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9" w15:restartNumberingAfterBreak="0">
    <w:nsid w:val="77BE09C8"/>
    <w:multiLevelType w:val="hybridMultilevel"/>
    <w:tmpl w:val="CE0AE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B204351"/>
    <w:multiLevelType w:val="hybridMultilevel"/>
    <w:tmpl w:val="58A0734A"/>
    <w:lvl w:ilvl="0" w:tplc="C88ADD16">
      <w:start w:val="4"/>
      <w:numFmt w:val="decimal"/>
      <w:lvlText w:val="%1."/>
      <w:lvlJc w:val="left"/>
      <w:pPr>
        <w:ind w:left="1789" w:hanging="360"/>
      </w:pPr>
      <w:rPr>
        <w:rFonts w:hint="default"/>
      </w:rPr>
    </w:lvl>
    <w:lvl w:ilvl="1" w:tplc="04070019" w:tentative="1">
      <w:start w:val="1"/>
      <w:numFmt w:val="lowerLetter"/>
      <w:lvlText w:val="%2."/>
      <w:lvlJc w:val="left"/>
      <w:pPr>
        <w:ind w:left="2509" w:hanging="360"/>
      </w:pPr>
    </w:lvl>
    <w:lvl w:ilvl="2" w:tplc="0407001B" w:tentative="1">
      <w:start w:val="1"/>
      <w:numFmt w:val="lowerRoman"/>
      <w:lvlText w:val="%3."/>
      <w:lvlJc w:val="right"/>
      <w:pPr>
        <w:ind w:left="3229" w:hanging="180"/>
      </w:pPr>
    </w:lvl>
    <w:lvl w:ilvl="3" w:tplc="0407000F" w:tentative="1">
      <w:start w:val="1"/>
      <w:numFmt w:val="decimal"/>
      <w:lvlText w:val="%4."/>
      <w:lvlJc w:val="left"/>
      <w:pPr>
        <w:ind w:left="3949" w:hanging="360"/>
      </w:pPr>
    </w:lvl>
    <w:lvl w:ilvl="4" w:tplc="04070019" w:tentative="1">
      <w:start w:val="1"/>
      <w:numFmt w:val="lowerLetter"/>
      <w:lvlText w:val="%5."/>
      <w:lvlJc w:val="left"/>
      <w:pPr>
        <w:ind w:left="4669" w:hanging="360"/>
      </w:pPr>
    </w:lvl>
    <w:lvl w:ilvl="5" w:tplc="0407001B" w:tentative="1">
      <w:start w:val="1"/>
      <w:numFmt w:val="lowerRoman"/>
      <w:lvlText w:val="%6."/>
      <w:lvlJc w:val="right"/>
      <w:pPr>
        <w:ind w:left="5389" w:hanging="180"/>
      </w:pPr>
    </w:lvl>
    <w:lvl w:ilvl="6" w:tplc="0407000F" w:tentative="1">
      <w:start w:val="1"/>
      <w:numFmt w:val="decimal"/>
      <w:lvlText w:val="%7."/>
      <w:lvlJc w:val="left"/>
      <w:pPr>
        <w:ind w:left="6109" w:hanging="360"/>
      </w:pPr>
    </w:lvl>
    <w:lvl w:ilvl="7" w:tplc="04070019" w:tentative="1">
      <w:start w:val="1"/>
      <w:numFmt w:val="lowerLetter"/>
      <w:lvlText w:val="%8."/>
      <w:lvlJc w:val="left"/>
      <w:pPr>
        <w:ind w:left="6829" w:hanging="360"/>
      </w:pPr>
    </w:lvl>
    <w:lvl w:ilvl="8" w:tplc="0407001B" w:tentative="1">
      <w:start w:val="1"/>
      <w:numFmt w:val="lowerRoman"/>
      <w:lvlText w:val="%9."/>
      <w:lvlJc w:val="right"/>
      <w:pPr>
        <w:ind w:left="7549" w:hanging="180"/>
      </w:pPr>
    </w:lvl>
  </w:abstractNum>
  <w:abstractNum w:abstractNumId="31" w15:restartNumberingAfterBreak="0">
    <w:nsid w:val="7D0E63CF"/>
    <w:multiLevelType w:val="hybridMultilevel"/>
    <w:tmpl w:val="103AF23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7FAF2B5B"/>
    <w:multiLevelType w:val="hybridMultilevel"/>
    <w:tmpl w:val="50D0B8F8"/>
    <w:lvl w:ilvl="0" w:tplc="897C0338">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1"/>
  </w:num>
  <w:num w:numId="2">
    <w:abstractNumId w:val="22"/>
  </w:num>
  <w:num w:numId="3">
    <w:abstractNumId w:val="17"/>
  </w:num>
  <w:num w:numId="4">
    <w:abstractNumId w:val="18"/>
  </w:num>
  <w:num w:numId="5">
    <w:abstractNumId w:val="12"/>
  </w:num>
  <w:num w:numId="6">
    <w:abstractNumId w:val="16"/>
  </w:num>
  <w:num w:numId="7">
    <w:abstractNumId w:val="5"/>
  </w:num>
  <w:num w:numId="8">
    <w:abstractNumId w:val="7"/>
  </w:num>
  <w:num w:numId="9">
    <w:abstractNumId w:val="1"/>
  </w:num>
  <w:num w:numId="10">
    <w:abstractNumId w:val="29"/>
  </w:num>
  <w:num w:numId="11">
    <w:abstractNumId w:val="27"/>
  </w:num>
  <w:num w:numId="12">
    <w:abstractNumId w:val="32"/>
  </w:num>
  <w:num w:numId="13">
    <w:abstractNumId w:val="13"/>
  </w:num>
  <w:num w:numId="14">
    <w:abstractNumId w:val="10"/>
  </w:num>
  <w:num w:numId="15">
    <w:abstractNumId w:val="11"/>
  </w:num>
  <w:num w:numId="16">
    <w:abstractNumId w:val="2"/>
  </w:num>
  <w:num w:numId="17">
    <w:abstractNumId w:val="31"/>
  </w:num>
  <w:num w:numId="18">
    <w:abstractNumId w:val="20"/>
  </w:num>
  <w:num w:numId="19">
    <w:abstractNumId w:val="14"/>
  </w:num>
  <w:num w:numId="20">
    <w:abstractNumId w:val="26"/>
  </w:num>
  <w:num w:numId="21">
    <w:abstractNumId w:val="0"/>
  </w:num>
  <w:num w:numId="22">
    <w:abstractNumId w:val="15"/>
  </w:num>
  <w:num w:numId="23">
    <w:abstractNumId w:val="8"/>
  </w:num>
  <w:num w:numId="24">
    <w:abstractNumId w:val="25"/>
  </w:num>
  <w:num w:numId="25">
    <w:abstractNumId w:val="3"/>
  </w:num>
  <w:num w:numId="26">
    <w:abstractNumId w:val="23"/>
  </w:num>
  <w:num w:numId="27">
    <w:abstractNumId w:val="6"/>
  </w:num>
  <w:num w:numId="28">
    <w:abstractNumId w:val="19"/>
  </w:num>
  <w:num w:numId="29">
    <w:abstractNumId w:val="30"/>
  </w:num>
  <w:num w:numId="30">
    <w:abstractNumId w:val="24"/>
  </w:num>
  <w:num w:numId="31">
    <w:abstractNumId w:val="9"/>
  </w:num>
  <w:num w:numId="32">
    <w:abstractNumId w:val="2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s_autosavelastposition83950" w:val="0"/>
  </w:docVars>
  <w:rsids>
    <w:rsidRoot w:val="003815F0"/>
    <w:rsid w:val="000009C3"/>
    <w:rsid w:val="00015AF6"/>
    <w:rsid w:val="00017477"/>
    <w:rsid w:val="00017EAC"/>
    <w:rsid w:val="00024B1B"/>
    <w:rsid w:val="00045793"/>
    <w:rsid w:val="00056448"/>
    <w:rsid w:val="0006589E"/>
    <w:rsid w:val="000771B1"/>
    <w:rsid w:val="000820C8"/>
    <w:rsid w:val="00096B96"/>
    <w:rsid w:val="000B247B"/>
    <w:rsid w:val="000E5DE9"/>
    <w:rsid w:val="000F1B8F"/>
    <w:rsid w:val="000F1EF0"/>
    <w:rsid w:val="001031F0"/>
    <w:rsid w:val="00116726"/>
    <w:rsid w:val="00123EA0"/>
    <w:rsid w:val="00124116"/>
    <w:rsid w:val="00125B08"/>
    <w:rsid w:val="00132A85"/>
    <w:rsid w:val="00144848"/>
    <w:rsid w:val="00147D0E"/>
    <w:rsid w:val="0015536B"/>
    <w:rsid w:val="00161A0C"/>
    <w:rsid w:val="0017571D"/>
    <w:rsid w:val="00193B5D"/>
    <w:rsid w:val="001B0DE5"/>
    <w:rsid w:val="001B3ED0"/>
    <w:rsid w:val="001D304E"/>
    <w:rsid w:val="001E1F07"/>
    <w:rsid w:val="001F5BB3"/>
    <w:rsid w:val="001F7239"/>
    <w:rsid w:val="0020439F"/>
    <w:rsid w:val="00205C56"/>
    <w:rsid w:val="00223272"/>
    <w:rsid w:val="00224C21"/>
    <w:rsid w:val="00232267"/>
    <w:rsid w:val="00236F79"/>
    <w:rsid w:val="00240FC9"/>
    <w:rsid w:val="00242419"/>
    <w:rsid w:val="002430D6"/>
    <w:rsid w:val="00243944"/>
    <w:rsid w:val="002477AD"/>
    <w:rsid w:val="002507EA"/>
    <w:rsid w:val="00253733"/>
    <w:rsid w:val="00262B60"/>
    <w:rsid w:val="00274787"/>
    <w:rsid w:val="0028261D"/>
    <w:rsid w:val="0028446C"/>
    <w:rsid w:val="00292216"/>
    <w:rsid w:val="002B6C1E"/>
    <w:rsid w:val="002C0F25"/>
    <w:rsid w:val="002D05A0"/>
    <w:rsid w:val="002D345E"/>
    <w:rsid w:val="002D38D8"/>
    <w:rsid w:val="002D4EF7"/>
    <w:rsid w:val="002F0888"/>
    <w:rsid w:val="003142A5"/>
    <w:rsid w:val="0031503F"/>
    <w:rsid w:val="00316956"/>
    <w:rsid w:val="003225EB"/>
    <w:rsid w:val="00334E82"/>
    <w:rsid w:val="0033637C"/>
    <w:rsid w:val="0033644C"/>
    <w:rsid w:val="00352C31"/>
    <w:rsid w:val="00371E0D"/>
    <w:rsid w:val="003815F0"/>
    <w:rsid w:val="00382143"/>
    <w:rsid w:val="00382A09"/>
    <w:rsid w:val="003B5977"/>
    <w:rsid w:val="003B60B3"/>
    <w:rsid w:val="003C40D3"/>
    <w:rsid w:val="003C494E"/>
    <w:rsid w:val="003C6991"/>
    <w:rsid w:val="003D65EC"/>
    <w:rsid w:val="003D6780"/>
    <w:rsid w:val="003D67FA"/>
    <w:rsid w:val="003E0F7B"/>
    <w:rsid w:val="003E2711"/>
    <w:rsid w:val="003E38F7"/>
    <w:rsid w:val="003F27A9"/>
    <w:rsid w:val="00431171"/>
    <w:rsid w:val="00434EF5"/>
    <w:rsid w:val="00440082"/>
    <w:rsid w:val="00440458"/>
    <w:rsid w:val="0045325D"/>
    <w:rsid w:val="00461DB8"/>
    <w:rsid w:val="00467EAB"/>
    <w:rsid w:val="00480EAF"/>
    <w:rsid w:val="004876BC"/>
    <w:rsid w:val="00487CE4"/>
    <w:rsid w:val="00492B36"/>
    <w:rsid w:val="00493542"/>
    <w:rsid w:val="0049396B"/>
    <w:rsid w:val="004943BF"/>
    <w:rsid w:val="00497A98"/>
    <w:rsid w:val="004A08BE"/>
    <w:rsid w:val="004A0A13"/>
    <w:rsid w:val="004A3187"/>
    <w:rsid w:val="004A3A74"/>
    <w:rsid w:val="004C3B02"/>
    <w:rsid w:val="004D6D77"/>
    <w:rsid w:val="004E1B36"/>
    <w:rsid w:val="004E1D2A"/>
    <w:rsid w:val="004E72DA"/>
    <w:rsid w:val="004F317B"/>
    <w:rsid w:val="004F5D9B"/>
    <w:rsid w:val="004F765D"/>
    <w:rsid w:val="004F77AE"/>
    <w:rsid w:val="00502112"/>
    <w:rsid w:val="00525D3C"/>
    <w:rsid w:val="00526835"/>
    <w:rsid w:val="0053629E"/>
    <w:rsid w:val="00554B15"/>
    <w:rsid w:val="005601BF"/>
    <w:rsid w:val="00564486"/>
    <w:rsid w:val="0056689D"/>
    <w:rsid w:val="005A04BE"/>
    <w:rsid w:val="005B07F4"/>
    <w:rsid w:val="005D2254"/>
    <w:rsid w:val="005E0051"/>
    <w:rsid w:val="005E20BD"/>
    <w:rsid w:val="005E5F90"/>
    <w:rsid w:val="005F0A0F"/>
    <w:rsid w:val="005F46AF"/>
    <w:rsid w:val="00604AD7"/>
    <w:rsid w:val="00615C1B"/>
    <w:rsid w:val="00621452"/>
    <w:rsid w:val="0062503E"/>
    <w:rsid w:val="0065692E"/>
    <w:rsid w:val="006572D5"/>
    <w:rsid w:val="00660C45"/>
    <w:rsid w:val="00661667"/>
    <w:rsid w:val="00663978"/>
    <w:rsid w:val="006666E0"/>
    <w:rsid w:val="00666779"/>
    <w:rsid w:val="006670A2"/>
    <w:rsid w:val="00684222"/>
    <w:rsid w:val="0068590D"/>
    <w:rsid w:val="006876E1"/>
    <w:rsid w:val="00693704"/>
    <w:rsid w:val="006A4670"/>
    <w:rsid w:val="006B07E1"/>
    <w:rsid w:val="006C1335"/>
    <w:rsid w:val="006C1407"/>
    <w:rsid w:val="006C1EEF"/>
    <w:rsid w:val="006C7CFF"/>
    <w:rsid w:val="006D1EDF"/>
    <w:rsid w:val="006D1F95"/>
    <w:rsid w:val="006D4F8B"/>
    <w:rsid w:val="006D573A"/>
    <w:rsid w:val="006D6944"/>
    <w:rsid w:val="006E0F8F"/>
    <w:rsid w:val="006E1169"/>
    <w:rsid w:val="006E1951"/>
    <w:rsid w:val="006E4DDF"/>
    <w:rsid w:val="006F1CFD"/>
    <w:rsid w:val="006F230A"/>
    <w:rsid w:val="006F3B04"/>
    <w:rsid w:val="0070124B"/>
    <w:rsid w:val="007062B2"/>
    <w:rsid w:val="00712C79"/>
    <w:rsid w:val="00713FD4"/>
    <w:rsid w:val="0071598B"/>
    <w:rsid w:val="00730EFA"/>
    <w:rsid w:val="007320AB"/>
    <w:rsid w:val="00742124"/>
    <w:rsid w:val="007531CD"/>
    <w:rsid w:val="00754487"/>
    <w:rsid w:val="00764103"/>
    <w:rsid w:val="00765BFE"/>
    <w:rsid w:val="007704AE"/>
    <w:rsid w:val="00774626"/>
    <w:rsid w:val="0077757D"/>
    <w:rsid w:val="00786607"/>
    <w:rsid w:val="00791561"/>
    <w:rsid w:val="007A0FD5"/>
    <w:rsid w:val="007A1B5D"/>
    <w:rsid w:val="007A2ACF"/>
    <w:rsid w:val="007A4651"/>
    <w:rsid w:val="007B2047"/>
    <w:rsid w:val="007C2604"/>
    <w:rsid w:val="007D1DB5"/>
    <w:rsid w:val="007D7F8C"/>
    <w:rsid w:val="007F01CE"/>
    <w:rsid w:val="007F2575"/>
    <w:rsid w:val="007F2FF7"/>
    <w:rsid w:val="007F38D9"/>
    <w:rsid w:val="007F7EA8"/>
    <w:rsid w:val="008058F8"/>
    <w:rsid w:val="00806CC3"/>
    <w:rsid w:val="00823BEA"/>
    <w:rsid w:val="008270FD"/>
    <w:rsid w:val="00832874"/>
    <w:rsid w:val="00834618"/>
    <w:rsid w:val="00837C40"/>
    <w:rsid w:val="0084471D"/>
    <w:rsid w:val="00844BA7"/>
    <w:rsid w:val="00864D0B"/>
    <w:rsid w:val="00866337"/>
    <w:rsid w:val="008705A9"/>
    <w:rsid w:val="00884104"/>
    <w:rsid w:val="008918DF"/>
    <w:rsid w:val="008931BB"/>
    <w:rsid w:val="00894D4A"/>
    <w:rsid w:val="008A410B"/>
    <w:rsid w:val="008C0D14"/>
    <w:rsid w:val="008C2047"/>
    <w:rsid w:val="008D1965"/>
    <w:rsid w:val="008F5F01"/>
    <w:rsid w:val="008F6BD3"/>
    <w:rsid w:val="009052D9"/>
    <w:rsid w:val="00915C33"/>
    <w:rsid w:val="009170CF"/>
    <w:rsid w:val="00917EBB"/>
    <w:rsid w:val="00924B97"/>
    <w:rsid w:val="0092599B"/>
    <w:rsid w:val="009409B8"/>
    <w:rsid w:val="0095277F"/>
    <w:rsid w:val="0095421D"/>
    <w:rsid w:val="0096447A"/>
    <w:rsid w:val="009658CF"/>
    <w:rsid w:val="00970421"/>
    <w:rsid w:val="00980EBA"/>
    <w:rsid w:val="0098794F"/>
    <w:rsid w:val="00990908"/>
    <w:rsid w:val="0099637B"/>
    <w:rsid w:val="009A48F2"/>
    <w:rsid w:val="009A76CB"/>
    <w:rsid w:val="009B5454"/>
    <w:rsid w:val="009E2483"/>
    <w:rsid w:val="009E252B"/>
    <w:rsid w:val="009F1042"/>
    <w:rsid w:val="009F19CE"/>
    <w:rsid w:val="00A020D4"/>
    <w:rsid w:val="00A07139"/>
    <w:rsid w:val="00A16A4D"/>
    <w:rsid w:val="00A17394"/>
    <w:rsid w:val="00A20511"/>
    <w:rsid w:val="00A214DF"/>
    <w:rsid w:val="00A23454"/>
    <w:rsid w:val="00A2533B"/>
    <w:rsid w:val="00A256EF"/>
    <w:rsid w:val="00A37353"/>
    <w:rsid w:val="00A54D42"/>
    <w:rsid w:val="00A627AE"/>
    <w:rsid w:val="00A6668F"/>
    <w:rsid w:val="00A677CC"/>
    <w:rsid w:val="00A727AC"/>
    <w:rsid w:val="00A76257"/>
    <w:rsid w:val="00A85693"/>
    <w:rsid w:val="00A95DA2"/>
    <w:rsid w:val="00AA1275"/>
    <w:rsid w:val="00AC0092"/>
    <w:rsid w:val="00AD13D2"/>
    <w:rsid w:val="00AD155B"/>
    <w:rsid w:val="00AE2797"/>
    <w:rsid w:val="00AE2C20"/>
    <w:rsid w:val="00AF0AE1"/>
    <w:rsid w:val="00AF68D8"/>
    <w:rsid w:val="00AF6F72"/>
    <w:rsid w:val="00B020A9"/>
    <w:rsid w:val="00B0607B"/>
    <w:rsid w:val="00B11943"/>
    <w:rsid w:val="00B1353D"/>
    <w:rsid w:val="00B16625"/>
    <w:rsid w:val="00B16643"/>
    <w:rsid w:val="00B178CF"/>
    <w:rsid w:val="00B23045"/>
    <w:rsid w:val="00B238E6"/>
    <w:rsid w:val="00B26E41"/>
    <w:rsid w:val="00B2767B"/>
    <w:rsid w:val="00B33BAE"/>
    <w:rsid w:val="00B354AB"/>
    <w:rsid w:val="00B4110F"/>
    <w:rsid w:val="00B467CB"/>
    <w:rsid w:val="00B4733D"/>
    <w:rsid w:val="00B55222"/>
    <w:rsid w:val="00B5708F"/>
    <w:rsid w:val="00B60F18"/>
    <w:rsid w:val="00B635A5"/>
    <w:rsid w:val="00B6504E"/>
    <w:rsid w:val="00B755F1"/>
    <w:rsid w:val="00B772F9"/>
    <w:rsid w:val="00B814D7"/>
    <w:rsid w:val="00B821B2"/>
    <w:rsid w:val="00B827E8"/>
    <w:rsid w:val="00B84C23"/>
    <w:rsid w:val="00B90102"/>
    <w:rsid w:val="00B9550A"/>
    <w:rsid w:val="00B967A0"/>
    <w:rsid w:val="00BA14AF"/>
    <w:rsid w:val="00BB2693"/>
    <w:rsid w:val="00BB62EA"/>
    <w:rsid w:val="00BB64E9"/>
    <w:rsid w:val="00BB65CE"/>
    <w:rsid w:val="00BC05CC"/>
    <w:rsid w:val="00BC3726"/>
    <w:rsid w:val="00BC42B5"/>
    <w:rsid w:val="00BC4EA1"/>
    <w:rsid w:val="00BC5161"/>
    <w:rsid w:val="00BE0A1E"/>
    <w:rsid w:val="00BE6301"/>
    <w:rsid w:val="00BF4B57"/>
    <w:rsid w:val="00BF6248"/>
    <w:rsid w:val="00C001C4"/>
    <w:rsid w:val="00C02C65"/>
    <w:rsid w:val="00C0339B"/>
    <w:rsid w:val="00C12C1E"/>
    <w:rsid w:val="00C14ADF"/>
    <w:rsid w:val="00C20D0F"/>
    <w:rsid w:val="00C218C3"/>
    <w:rsid w:val="00C279E7"/>
    <w:rsid w:val="00C30F7D"/>
    <w:rsid w:val="00C36066"/>
    <w:rsid w:val="00C366C1"/>
    <w:rsid w:val="00C453BF"/>
    <w:rsid w:val="00C466F4"/>
    <w:rsid w:val="00C61CC0"/>
    <w:rsid w:val="00C67969"/>
    <w:rsid w:val="00C85EF5"/>
    <w:rsid w:val="00C9507A"/>
    <w:rsid w:val="00C963C1"/>
    <w:rsid w:val="00CA32FC"/>
    <w:rsid w:val="00CB7FB2"/>
    <w:rsid w:val="00CC3CC8"/>
    <w:rsid w:val="00CE3A58"/>
    <w:rsid w:val="00CE406B"/>
    <w:rsid w:val="00D01521"/>
    <w:rsid w:val="00D115E6"/>
    <w:rsid w:val="00D13615"/>
    <w:rsid w:val="00D14CC9"/>
    <w:rsid w:val="00D20DD1"/>
    <w:rsid w:val="00D22202"/>
    <w:rsid w:val="00D25491"/>
    <w:rsid w:val="00D260B9"/>
    <w:rsid w:val="00D30733"/>
    <w:rsid w:val="00D33466"/>
    <w:rsid w:val="00D36450"/>
    <w:rsid w:val="00D41A35"/>
    <w:rsid w:val="00D57470"/>
    <w:rsid w:val="00D60CF1"/>
    <w:rsid w:val="00D64B7B"/>
    <w:rsid w:val="00D64F11"/>
    <w:rsid w:val="00D66E16"/>
    <w:rsid w:val="00D66FB6"/>
    <w:rsid w:val="00D67C8B"/>
    <w:rsid w:val="00D70522"/>
    <w:rsid w:val="00D76A0A"/>
    <w:rsid w:val="00D7732B"/>
    <w:rsid w:val="00D80617"/>
    <w:rsid w:val="00D9035C"/>
    <w:rsid w:val="00D96FDC"/>
    <w:rsid w:val="00DA4D4C"/>
    <w:rsid w:val="00DB2752"/>
    <w:rsid w:val="00DB3833"/>
    <w:rsid w:val="00DB46DD"/>
    <w:rsid w:val="00DB5210"/>
    <w:rsid w:val="00DB5F2E"/>
    <w:rsid w:val="00DD0202"/>
    <w:rsid w:val="00DD0763"/>
    <w:rsid w:val="00DD59EE"/>
    <w:rsid w:val="00DE3B94"/>
    <w:rsid w:val="00DF7BCB"/>
    <w:rsid w:val="00E02807"/>
    <w:rsid w:val="00E03A12"/>
    <w:rsid w:val="00E1002C"/>
    <w:rsid w:val="00E106C9"/>
    <w:rsid w:val="00E11C23"/>
    <w:rsid w:val="00E13D9A"/>
    <w:rsid w:val="00E15DB5"/>
    <w:rsid w:val="00E2295E"/>
    <w:rsid w:val="00E25467"/>
    <w:rsid w:val="00E52912"/>
    <w:rsid w:val="00E55044"/>
    <w:rsid w:val="00E642EF"/>
    <w:rsid w:val="00E909AE"/>
    <w:rsid w:val="00E91DEF"/>
    <w:rsid w:val="00E93A43"/>
    <w:rsid w:val="00EB28A1"/>
    <w:rsid w:val="00EB2A8B"/>
    <w:rsid w:val="00EB69A6"/>
    <w:rsid w:val="00EC468E"/>
    <w:rsid w:val="00EC50D9"/>
    <w:rsid w:val="00ED3E53"/>
    <w:rsid w:val="00ED59EE"/>
    <w:rsid w:val="00EE5755"/>
    <w:rsid w:val="00EE582E"/>
    <w:rsid w:val="00EF6E1C"/>
    <w:rsid w:val="00EF7238"/>
    <w:rsid w:val="00F0035A"/>
    <w:rsid w:val="00F13B4E"/>
    <w:rsid w:val="00F17166"/>
    <w:rsid w:val="00F4154B"/>
    <w:rsid w:val="00F454A3"/>
    <w:rsid w:val="00F45F07"/>
    <w:rsid w:val="00F462D9"/>
    <w:rsid w:val="00F539E4"/>
    <w:rsid w:val="00F701A5"/>
    <w:rsid w:val="00F71C2B"/>
    <w:rsid w:val="00F81A5A"/>
    <w:rsid w:val="00F86EA6"/>
    <w:rsid w:val="00F87EE8"/>
    <w:rsid w:val="00F90CAB"/>
    <w:rsid w:val="00F96D95"/>
    <w:rsid w:val="00FA0009"/>
    <w:rsid w:val="00FA4384"/>
    <w:rsid w:val="00FA72F1"/>
    <w:rsid w:val="00FC6E9A"/>
    <w:rsid w:val="00FD469F"/>
    <w:rsid w:val="00FE2CE5"/>
    <w:rsid w:val="00FE7946"/>
    <w:rsid w:val="00FF08F2"/>
    <w:rsid w:val="00FF0F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1E5546"/>
  <w15:docId w15:val="{DC3467A7-5F59-4CA5-B7AA-6AFB2D5E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3E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815F0"/>
    <w:pPr>
      <w:ind w:left="720"/>
      <w:contextualSpacing/>
    </w:pPr>
  </w:style>
  <w:style w:type="table" w:styleId="Tabellenraster">
    <w:name w:val="Table Grid"/>
    <w:basedOn w:val="NormaleTabelle"/>
    <w:uiPriority w:val="59"/>
    <w:rsid w:val="00B1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11943"/>
    <w:rPr>
      <w:sz w:val="16"/>
      <w:szCs w:val="16"/>
    </w:rPr>
  </w:style>
  <w:style w:type="paragraph" w:styleId="Kommentartext">
    <w:name w:val="annotation text"/>
    <w:basedOn w:val="Standard"/>
    <w:link w:val="KommentartextZchn"/>
    <w:uiPriority w:val="99"/>
    <w:unhideWhenUsed/>
    <w:rsid w:val="00B11943"/>
    <w:pPr>
      <w:spacing w:line="240" w:lineRule="auto"/>
    </w:pPr>
    <w:rPr>
      <w:sz w:val="20"/>
      <w:szCs w:val="20"/>
    </w:rPr>
  </w:style>
  <w:style w:type="character" w:customStyle="1" w:styleId="KommentartextZchn">
    <w:name w:val="Kommentartext Zchn"/>
    <w:basedOn w:val="Absatz-Standardschriftart"/>
    <w:link w:val="Kommentartext"/>
    <w:uiPriority w:val="99"/>
    <w:rsid w:val="00B11943"/>
    <w:rPr>
      <w:sz w:val="20"/>
      <w:szCs w:val="20"/>
    </w:rPr>
  </w:style>
  <w:style w:type="paragraph" w:styleId="Kommentarthema">
    <w:name w:val="annotation subject"/>
    <w:basedOn w:val="Kommentartext"/>
    <w:next w:val="Kommentartext"/>
    <w:link w:val="KommentarthemaZchn"/>
    <w:uiPriority w:val="99"/>
    <w:semiHidden/>
    <w:unhideWhenUsed/>
    <w:rsid w:val="00B11943"/>
    <w:rPr>
      <w:b/>
      <w:bCs/>
    </w:rPr>
  </w:style>
  <w:style w:type="character" w:customStyle="1" w:styleId="KommentarthemaZchn">
    <w:name w:val="Kommentarthema Zchn"/>
    <w:basedOn w:val="KommentartextZchn"/>
    <w:link w:val="Kommentarthema"/>
    <w:uiPriority w:val="99"/>
    <w:semiHidden/>
    <w:rsid w:val="00B11943"/>
    <w:rPr>
      <w:b/>
      <w:bCs/>
      <w:sz w:val="20"/>
      <w:szCs w:val="20"/>
    </w:rPr>
  </w:style>
  <w:style w:type="paragraph" w:styleId="Sprechblasentext">
    <w:name w:val="Balloon Text"/>
    <w:basedOn w:val="Standard"/>
    <w:link w:val="SprechblasentextZchn"/>
    <w:uiPriority w:val="99"/>
    <w:semiHidden/>
    <w:unhideWhenUsed/>
    <w:rsid w:val="00B119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1943"/>
    <w:rPr>
      <w:rFonts w:ascii="Tahoma" w:hAnsi="Tahoma" w:cs="Tahoma"/>
      <w:sz w:val="16"/>
      <w:szCs w:val="16"/>
    </w:rPr>
  </w:style>
  <w:style w:type="table" w:styleId="MittleresRaster1">
    <w:name w:val="Medium Grid 1"/>
    <w:basedOn w:val="NormaleTabelle"/>
    <w:uiPriority w:val="67"/>
    <w:rsid w:val="006C140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D9D9D9" w:themeFill="background1" w:themeFillShade="D9"/>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Default">
    <w:name w:val="Default"/>
    <w:rsid w:val="00440458"/>
    <w:pPr>
      <w:autoSpaceDE w:val="0"/>
      <w:autoSpaceDN w:val="0"/>
      <w:adjustRightInd w:val="0"/>
      <w:spacing w:after="0" w:line="240" w:lineRule="auto"/>
    </w:pPr>
    <w:rPr>
      <w:rFonts w:ascii="Arial" w:hAnsi="Arial" w:cs="Arial"/>
      <w:color w:val="000000"/>
      <w:sz w:val="24"/>
      <w:szCs w:val="24"/>
    </w:rPr>
  </w:style>
  <w:style w:type="paragraph" w:styleId="KeinLeerraum">
    <w:name w:val="No Spacing"/>
    <w:uiPriority w:val="1"/>
    <w:qFormat/>
    <w:rsid w:val="006572D5"/>
    <w:pPr>
      <w:spacing w:after="0" w:line="240" w:lineRule="auto"/>
    </w:pPr>
  </w:style>
  <w:style w:type="paragraph" w:styleId="Kopfzeile">
    <w:name w:val="header"/>
    <w:basedOn w:val="Standard"/>
    <w:link w:val="KopfzeileZchn"/>
    <w:uiPriority w:val="99"/>
    <w:unhideWhenUsed/>
    <w:rsid w:val="009E24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2483"/>
  </w:style>
  <w:style w:type="paragraph" w:styleId="Fuzeile">
    <w:name w:val="footer"/>
    <w:basedOn w:val="Standard"/>
    <w:link w:val="FuzeileZchn"/>
    <w:uiPriority w:val="99"/>
    <w:unhideWhenUsed/>
    <w:rsid w:val="009E24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2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22704">
      <w:bodyDiv w:val="1"/>
      <w:marLeft w:val="0"/>
      <w:marRight w:val="0"/>
      <w:marTop w:val="0"/>
      <w:marBottom w:val="0"/>
      <w:divBdr>
        <w:top w:val="none" w:sz="0" w:space="0" w:color="auto"/>
        <w:left w:val="none" w:sz="0" w:space="0" w:color="auto"/>
        <w:bottom w:val="none" w:sz="0" w:space="0" w:color="auto"/>
        <w:right w:val="none" w:sz="0" w:space="0" w:color="auto"/>
      </w:divBdr>
    </w:div>
    <w:div w:id="765492793">
      <w:bodyDiv w:val="1"/>
      <w:marLeft w:val="0"/>
      <w:marRight w:val="0"/>
      <w:marTop w:val="0"/>
      <w:marBottom w:val="0"/>
      <w:divBdr>
        <w:top w:val="none" w:sz="0" w:space="0" w:color="auto"/>
        <w:left w:val="none" w:sz="0" w:space="0" w:color="auto"/>
        <w:bottom w:val="none" w:sz="0" w:space="0" w:color="auto"/>
        <w:right w:val="none" w:sz="0" w:space="0" w:color="auto"/>
      </w:divBdr>
    </w:div>
    <w:div w:id="86016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EBA83-C9CC-43BF-BC54-89B35111C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4555</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NBank - Investitions und Förderbank</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Praktikant14</dc:creator>
  <cp:lastModifiedBy>Albrecht, Olga</cp:lastModifiedBy>
  <cp:revision>2</cp:revision>
  <cp:lastPrinted>2015-06-08T08:53:00Z</cp:lastPrinted>
  <dcterms:created xsi:type="dcterms:W3CDTF">2024-02-20T11:04:00Z</dcterms:created>
  <dcterms:modified xsi:type="dcterms:W3CDTF">2024-02-20T11:04:00Z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y fmtid="{D5CDD505-2E9C-101B-9397-08002B2CF9AE}" pid="3" name="OS_LastOpenTime">
    <vt:lpwstr>9/11/2017 11:35:10 AM</vt:lpwstr>
  </property>
  <property fmtid="{D5CDD505-2E9C-101B-9397-08002B2CF9AE}" pid="4" name="OS_LastOpenUser">
    <vt:lpwstr>ALEXANDER.PFEIFER</vt:lpwstr>
  </property>
  <property fmtid="{D5CDD505-2E9C-101B-9397-08002B2CF9AE}" pid="5" name="OS_LastSave">
    <vt:lpwstr>9/11/2017 3:22:05 PM</vt:lpwstr>
  </property>
  <property fmtid="{D5CDD505-2E9C-101B-9397-08002B2CF9AE}" pid="6" name="OS_LastSaveUser">
    <vt:lpwstr>ALEXANDER.PFEIFER</vt:lpwstr>
  </property>
  <property fmtid="{D5CDD505-2E9C-101B-9397-08002B2CF9AE}" pid="7" name="OS_LastDocumentSaved">
    <vt:bool>false</vt:bool>
  </property>
  <property fmtid="{D5CDD505-2E9C-101B-9397-08002B2CF9AE}" pid="8" name="MustSave">
    <vt:bool>false</vt:bool>
  </property>
</Properties>
</file>